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0" w:rsidRDefault="00AC73A0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Тема урока: </w:t>
      </w:r>
      <w:r w:rsidRPr="00AC73A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Пример расчета передача винт гайка.</w:t>
      </w:r>
    </w:p>
    <w:p w:rsidR="00AC73A0" w:rsidRPr="00AC73A0" w:rsidRDefault="00AC73A0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ru-RU"/>
        </w:rPr>
      </w:pPr>
      <w:r w:rsidRPr="00AC73A0"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ru-RU"/>
        </w:rPr>
        <w:t xml:space="preserve">Разобрать пример и записать в тетрадь и прислать </w:t>
      </w:r>
    </w:p>
    <w:p w:rsidR="00AC73A0" w:rsidRPr="00AC73A0" w:rsidRDefault="00AC73A0" w:rsidP="00AC7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73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электронную почту</w:t>
      </w:r>
    </w:p>
    <w:p w:rsidR="00AC73A0" w:rsidRPr="00AC73A0" w:rsidRDefault="00AC73A0" w:rsidP="00AC7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C73A0" w:rsidRPr="00AC73A0" w:rsidRDefault="00AC73A0" w:rsidP="00AC73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 w:rsidRPr="00AC73A0"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  <w:t>lomakinaNV67@yandex.ru</w:t>
      </w:r>
    </w:p>
    <w:p w:rsidR="00AC73A0" w:rsidRPr="00AC73A0" w:rsidRDefault="00AC73A0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AC73A0" w:rsidRPr="00AC73A0" w:rsidRDefault="00AC73A0" w:rsidP="00AC73A0">
      <w:pPr>
        <w:shd w:val="clear" w:color="auto" w:fill="FFFFFF" w:themeFill="background1"/>
        <w:spacing w:after="92" w:line="288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Задача.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Рассчитать винт и гайку винтового домкрата грузоподъемностью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F=40 кН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для подъема груза на высоту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L=500 мм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</w:t>
      </w:r>
    </w:p>
    <w:p w:rsidR="00AC73A0" w:rsidRPr="00AC73A0" w:rsidRDefault="00AC73A0" w:rsidP="00AC73A0">
      <w:pPr>
        <w:shd w:val="clear" w:color="auto" w:fill="FFFFFF" w:themeFill="background1"/>
        <w:spacing w:after="92" w:line="288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Решение.</w:t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Назначаем материалы для винта — сталь 45 и для гайки — бронза БрОЦС6-6-3. Примем квадратную однозаходную правую резьбу.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Для определения среднего диаметра </w:t>
      </w:r>
      <w:hyperlink r:id="rId4" w:history="1">
        <w:r w:rsidRPr="00AC73A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резьбы</w:t>
        </w:r>
      </w:hyperlink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винта и гайки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d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2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из расчета резьбы на износостойкость примем отношение высоты гайки к среднему диаметру резьбы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k=H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/d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2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=1,6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и допускаемое давление для резьбы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[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q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]=10 МПа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 Тогда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408295" cy="1186815"/>
            <wp:effectExtent l="19050" t="0" r="1905" b="0"/>
            <wp:docPr id="1" name="Рисунок 1" descr="d_2=sqrt{{2F}/(pi k delim{[}{q}{]})}=sqrt{{2*40*10^3}/(3.14*16*10)}=40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2=sqrt{{2F}/(pi k delim{[}{q}{]})}=sqrt{{2*40*10^3}/(3.14*16*10)}=40 м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Размеры резьбы. Высота профиля резьбы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3842385" cy="544830"/>
            <wp:effectExtent l="19050" t="0" r="5715" b="0"/>
            <wp:docPr id="2" name="Рисунок 2" descr="h=0.1d_2=0.1*40=4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=0.1d_2=0.1*40=4 м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Наружный диаметр резьбы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319270" cy="564515"/>
            <wp:effectExtent l="19050" t="0" r="0" b="0"/>
            <wp:docPr id="3" name="Рисунок 3" descr="d=d_2+h=40+4=44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=d_2+h=40+4=44 м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Внутренний диаметр резьбы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182745" cy="564515"/>
            <wp:effectExtent l="19050" t="0" r="0" b="0"/>
            <wp:docPr id="4" name="Рисунок 4" descr="d_1=d_2 -h=40-4=36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1=d_2 -h=40-4=36 м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Шаг резьбы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3006090" cy="389255"/>
            <wp:effectExtent l="19050" t="0" r="3810" b="0"/>
            <wp:docPr id="5" name="Рисунок 5" descr="P=2h=2*4=8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=2h=2*4=8 м 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Ход резьбы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P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h</w:t>
      </w:r>
      <w:proofErr w:type="spellEnd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(число заходов резьбы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n=1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)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3307715" cy="544830"/>
            <wp:effectExtent l="19050" t="0" r="6985" b="0"/>
            <wp:docPr id="6" name="Рисунок 6" descr="P_h=n P=1*8=8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_h=n P=1*8=8 м 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lastRenderedPageBreak/>
        <w:t>Из формулы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932045" cy="1420495"/>
            <wp:effectExtent l="19050" t="0" r="1905" b="0"/>
            <wp:docPr id="7" name="Рисунок 7" descr="tg psi=P_h/(pi d_2)=8/(3.14*40)=0.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g psi=P_h/(pi d_2)=8/(3.14*40)=0.0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и, следовательно, угол подъема резьбы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ψ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=3°40′</w:t>
      </w:r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.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Коэффициент трения стали по бронзе при слабой смазке примем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ƒ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=0,1</w:t>
      </w:r>
      <w:proofErr w:type="gramStart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З</w:t>
      </w:r>
      <w:proofErr w:type="gramEnd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начит,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tg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 xml:space="preserve"> φ=0,1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и угол трения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φ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=5°50′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 Условие самоторможения винта домкрата обеспечено, так как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ψ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&lt;φ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</w:t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Проверим винт на прочность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749290" cy="1459230"/>
            <wp:effectExtent l="19050" t="0" r="3810" b="0"/>
            <wp:docPr id="8" name="Рисунок 8" descr="sigma_{э к в}=sqrt{delim {[}{{4F}/(pi d^2 _1)}{]}^2 +4delim {[}{T/(0.2d^3 _1)}{]}^2}&lt;=delim {[}{sigma_p}{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ma_{э к в}=sqrt{delim {[}{{4F}/(pi d^2 _1)}{]}^2 +4delim {[}{T/(0.2d^3 _1)}{]}^2}&lt;=delim {[}{sigma_p}{]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Крутящий момент в опасных поперечных сечениях винта домкрата (на участке от гайки до рукоятки)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6274435" cy="389255"/>
            <wp:effectExtent l="19050" t="0" r="0" b="0"/>
            <wp:docPr id="9" name="Рисунок 9" descr="T=0.5d_2 F tg(psi+phi)=0.5*0.04*40000*0.17=136 Н*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=0.5d_2 F tg(psi+phi)=0.5*0.04*40000*0.17=136 Н*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Для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стали 45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предел текучести по ГОСТ 1050-60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σ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т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=360 МПа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 Допускаемое напряжение на сжатие для винта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3949700" cy="885190"/>
            <wp:effectExtent l="19050" t="0" r="0" b="0"/>
            <wp:docPr id="10" name="Рисунок 10" descr="delim {[}{sigma_с}{]}=sigma_т/3=360/3=120 М П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lim {[}{sigma_с}{]}=sigma_т/3=360/3=120 М П 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Эквивалентное напряжение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992495" cy="1459230"/>
            <wp:effectExtent l="19050" t="0" r="0" b="0"/>
            <wp:docPr id="11" name="Рисунок 11" descr="sigma_{э к в}=sqrt{delim {[}{{4F}/(pi d^2 _1)}{]}^2 +4delim {[}{T/(0.2d^3 _1)}{]}^2}&lt;=delim {[}{sigma_p}{]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ma_{э к в}=sqrt{delim {[}{{4F}/(pi d^2 _1)}{]}^2 +4delim {[}{T/(0.2d^3 _1)}{]}^2}&lt;=delim {[}{sigma_p}{]}=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lastRenderedPageBreak/>
        <w:drawing>
          <wp:inline distT="0" distB="0" distL="0" distR="0">
            <wp:extent cx="5107305" cy="1459230"/>
            <wp:effectExtent l="19050" t="0" r="0" b="0"/>
            <wp:docPr id="12" name="Рисунок 12" descr="{=}sqrt{delim {[}{{4*40*10^3}/(3.14*36^2)}{]}+4 delim {[}{136*10^3/(0.2*36^3)}{]}^2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=}sqrt{delim {[}{{4*40*10^3}/(3.14*36^2)}{]}+4 delim {[}{136*10^3/(0.2*36^3)}{]}^2}=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192905" cy="651510"/>
            <wp:effectExtent l="19050" t="0" r="0" b="0"/>
            <wp:docPr id="13" name="Рисунок 13" descr="{=}48 М П а &lt; delim {[}{sigma_c}{]}=120 М П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=}48 М П а &lt; delim {[}{sigma_c}{]}=120 М П 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 xml:space="preserve">т. е. прочность винта выше </w:t>
      </w:r>
      <w:proofErr w:type="gramStart"/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требуемой</w:t>
      </w:r>
      <w:proofErr w:type="gramEnd"/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.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lastRenderedPageBreak/>
        <w:drawing>
          <wp:inline distT="0" distB="0" distL="0" distR="0">
            <wp:extent cx="4688840" cy="12976860"/>
            <wp:effectExtent l="19050" t="0" r="0" b="0"/>
            <wp:docPr id="14" name="Рисунок 14" descr="Конструкция передачи винт г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трукция передачи винт гай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29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191001"/>
          <w:sz w:val="20"/>
          <w:szCs w:val="20"/>
          <w:bdr w:val="none" w:sz="0" w:space="0" w:color="auto" w:frame="1"/>
          <w:shd w:val="clear" w:color="auto" w:fill="E4E4E4"/>
          <w:lang w:eastAsia="ru-RU"/>
        </w:rPr>
      </w:pPr>
      <w:r w:rsidRPr="00AC73A0">
        <w:rPr>
          <w:rFonts w:ascii="Arial" w:eastAsia="Times New Roman" w:hAnsi="Arial" w:cs="Arial"/>
          <w:b/>
          <w:bCs/>
          <w:color w:val="191001"/>
          <w:sz w:val="20"/>
          <w:szCs w:val="20"/>
          <w:bdr w:val="none" w:sz="0" w:space="0" w:color="auto" w:frame="1"/>
          <w:shd w:val="clear" w:color="auto" w:fill="E4E4E4"/>
          <w:lang w:eastAsia="ru-RU"/>
        </w:rPr>
        <w:lastRenderedPageBreak/>
        <w:t>Рис. 1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Коэффициент приведения длины винта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μ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=2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(см. рис. 1), так как винт можно считать стойкой с нижним защемленным концом. Приведенный момент инерции площади сечения винта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134485" cy="1459230"/>
            <wp:effectExtent l="0" t="0" r="0" b="0"/>
            <wp:docPr id="15" name="Рисунок 15" descr="I=({pi d^4 _1}/64)({0.4+0.6d}/d_1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=({pi d^4 _1}/64)({0.4+0.6d}/d_1)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583555" cy="885190"/>
            <wp:effectExtent l="19050" t="0" r="0" b="0"/>
            <wp:docPr id="16" name="Рисунок 16" descr="{=}({3.14*36^4}/64)({0.4+0.6*44}/36)=94*10^3 м м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=}({3.14*36^4}/64)({0.4+0.6*44}/36)=94*10^3 м м^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Радиус инерции площади сечения винта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564505" cy="1167130"/>
            <wp:effectExtent l="19050" t="0" r="0" b="0"/>
            <wp:docPr id="17" name="Рисунок 17" descr="i=sqrt{I/A_1}=sqrt{{4I}/(pi d^2 _1)}=sqrt{{4*94*10^3}/(3.14*36^2)}=9.62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=sqrt{I/A_1}=sqrt{{4I}/(pi d^2 _1)}=sqrt{{4*94*10^3}/(3.14*36^2)}=9.62 м м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Гибкость винта 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λ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=μl/i=2×500/9,62=104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, т. е. формула Эйлера применима.</w:t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 xml:space="preserve">Критическая сила (рассматриваем винт как стержень с одним жестко закрепленным </w:t>
      </w:r>
      <w:proofErr w:type="spellStart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н</w:t>
      </w:r>
      <w:proofErr w:type="spellEnd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 xml:space="preserve"> другим свободным концом)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165090" cy="1342390"/>
            <wp:effectExtent l="0" t="0" r="0" b="0"/>
            <wp:docPr id="18" name="Рисунок 18" descr="F&lt;={pi^2 EI}/delim {[}{delim {[}{s_y}{]}(mu l)^2}{]}={3.14^2*2.1*10^5*94*10^3}/delim {[}{4*(2*500)^2}{]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&lt;={pi^2 EI}/delim {[}{delim {[}{s_y}{]}(mu l)^2}{]}={3.14^2*2.1*10^5*94*10^3}/delim {[}{4*(2*500)^2}{]}=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3394710" cy="544830"/>
            <wp:effectExtent l="0" t="0" r="0" b="0"/>
            <wp:docPr id="19" name="Рисунок 19" descr="{=}195*10^3H=195 к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=}195*10^3H=195 к Н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Допускаемая сила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3492500" cy="1031240"/>
            <wp:effectExtent l="19050" t="0" r="0" b="0"/>
            <wp:docPr id="20" name="Рисунок 20" descr="delim {[}{F}{]}=F_{к р}/s_y=195/4 approx 49 к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lim {[}{F}{]}=F_{к р}/s_y=195/4 approx 49 к Н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где допускаемый коэффициент запаса устойчивости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[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s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y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]=4</w:t>
      </w:r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.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lastRenderedPageBreak/>
        <w:t>Устойчивость винта обеспечена, так как действующая сила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F=40 кН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 xml:space="preserve"> меньше </w:t>
      </w:r>
      <w:proofErr w:type="gramStart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допускаемой</w:t>
      </w:r>
      <w:proofErr w:type="gramEnd"/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[F]=49 кН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Перейдем к </w:t>
      </w:r>
      <w:hyperlink r:id="rId25" w:history="1">
        <w:r w:rsidRPr="00AC73A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расчету</w:t>
        </w:r>
      </w:hyperlink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 гайки. Примем допускаемые напряжения гайки на растяжение и смятие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[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σ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p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]=[σ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см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]=40 МПа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, на срез </w:t>
      </w:r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[</w:t>
      </w:r>
      <w:proofErr w:type="spellStart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τ</w:t>
      </w:r>
      <w:r w:rsidRPr="00AC73A0">
        <w:rPr>
          <w:rFonts w:ascii="Arial" w:eastAsia="Times New Roman" w:hAnsi="Arial" w:cs="Arial"/>
          <w:b/>
          <w:bCs/>
          <w:color w:val="191001"/>
          <w:sz w:val="16"/>
          <w:vertAlign w:val="subscript"/>
          <w:lang w:eastAsia="ru-RU"/>
        </w:rPr>
        <w:t>c</w:t>
      </w:r>
      <w:proofErr w:type="spellEnd"/>
      <w:r w:rsidRPr="00AC73A0">
        <w:rPr>
          <w:rFonts w:ascii="Arial" w:eastAsia="Times New Roman" w:hAnsi="Arial" w:cs="Arial"/>
          <w:b/>
          <w:bCs/>
          <w:color w:val="191001"/>
          <w:sz w:val="20"/>
          <w:lang w:eastAsia="ru-RU"/>
        </w:rPr>
        <w:t>]=22,5 МПа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. Высота гайки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250690" cy="564515"/>
            <wp:effectExtent l="0" t="0" r="0" b="0"/>
            <wp:docPr id="21" name="Рисунок 21" descr="H=kd_2=1.6*40=64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=kd_2=1.6*40=64 м м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Наружный диаметр </w:t>
      </w:r>
      <w:hyperlink r:id="rId27" w:history="1">
        <w:r w:rsidRPr="00AC73A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гайки</w:t>
        </w:r>
      </w:hyperlink>
      <w:r w:rsidRPr="00AC73A0">
        <w:rPr>
          <w:rFonts w:ascii="Arial" w:eastAsia="Times New Roman" w:hAnsi="Arial" w:cs="Arial"/>
          <w:color w:val="4D4C4C"/>
          <w:sz w:val="20"/>
          <w:szCs w:val="20"/>
          <w:shd w:val="clear" w:color="auto" w:fill="E4E4E4"/>
          <w:lang w:eastAsia="ru-RU"/>
        </w:rPr>
        <w:t> по формуле</w:t>
      </w: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5758815" cy="1459230"/>
            <wp:effectExtent l="19050" t="0" r="0" b="0"/>
            <wp:docPr id="22" name="Рисунок 22" descr="D=sqrt{{4F}/(pi delim {[}{sigma_p}{]})+d^2}=sqrt{{4*40*10^3}/(3.14*40)+44^2}=56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=sqrt{{4F}/(pi delim {[}{sigma_p}{]})+d^2}=sqrt{{4*40*10^3}/(3.14*40)+44^2}=56 м м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br/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Наружный диаметр фланца гайки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6021705" cy="1459230"/>
            <wp:effectExtent l="19050" t="0" r="0" b="0"/>
            <wp:docPr id="23" name="Рисунок 23" descr="D_1=sqrt{{4F}/(pi delim {[}{sigma_{с м}}{]})+D^2}=sqrt{{4*40*10^3}/(3.14*40)+56^2}=66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_1=sqrt{{4F}/(pi delim {[}{sigma_{с м}}{]})+D^2}=sqrt{{4*40*10^3}/(3.14*40)+56^2}=66 м м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A0" w:rsidRPr="00AC73A0" w:rsidRDefault="00AC73A0" w:rsidP="00AC73A0">
      <w:pPr>
        <w:shd w:val="clear" w:color="auto" w:fill="FFFFFF" w:themeFill="background1"/>
        <w:spacing w:after="291" w:line="240" w:lineRule="auto"/>
        <w:ind w:firstLine="383"/>
        <w:jc w:val="both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AC73A0">
        <w:rPr>
          <w:rFonts w:ascii="Arial" w:eastAsia="Times New Roman" w:hAnsi="Arial" w:cs="Arial"/>
          <w:color w:val="4D4C4C"/>
          <w:sz w:val="20"/>
          <w:szCs w:val="20"/>
          <w:lang w:eastAsia="ru-RU"/>
        </w:rPr>
        <w:t>Толщина фланца по формуле</w:t>
      </w:r>
    </w:p>
    <w:p w:rsidR="00AC73A0" w:rsidRPr="00AC73A0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>
            <wp:extent cx="4017645" cy="1274445"/>
            <wp:effectExtent l="19050" t="0" r="1905" b="0"/>
            <wp:docPr id="24" name="Рисунок 24" descr="delta=F/(pi D delim {[}{tau_c}{]})={40*10^3}/{3.14*56*22.5}=10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lta=F/(pi D delim {[}{tau_c}{]})={40*10^3}/{3.14*56*22.5}=10 м м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C5" w:rsidRDefault="00180DC5" w:rsidP="00AC73A0">
      <w:pPr>
        <w:shd w:val="clear" w:color="auto" w:fill="FFFFFF" w:themeFill="background1"/>
      </w:pPr>
    </w:p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3A0"/>
    <w:rsid w:val="00180DC5"/>
    <w:rsid w:val="003751FA"/>
    <w:rsid w:val="00830B57"/>
    <w:rsid w:val="00A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C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0"/>
    <w:rPr>
      <w:b/>
      <w:bCs/>
    </w:rPr>
  </w:style>
  <w:style w:type="character" w:styleId="a5">
    <w:name w:val="Hyperlink"/>
    <w:basedOn w:val="a0"/>
    <w:uiPriority w:val="99"/>
    <w:semiHidden/>
    <w:unhideWhenUsed/>
    <w:rsid w:val="00AC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metiz-bearing.ru/raschet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hyperlink" Target="https://metiz-bearing.ru/rezba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metiz-bearing.ru/gayki.html" TargetMode="External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2020-04-09T10:24:00Z</dcterms:created>
  <dcterms:modified xsi:type="dcterms:W3CDTF">2020-04-09T10:35:00Z</dcterms:modified>
</cp:coreProperties>
</file>