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A9448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>Тема урока: Дефект массы ядра</w:t>
      </w:r>
    </w:p>
    <w:p w:rsidR="00A9448D" w:rsidRPr="00BB34B5" w:rsidRDefault="00A9448D" w:rsidP="00A944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Законспектировать материал и отправить на почту:</w:t>
      </w:r>
      <w:r w:rsidRPr="00BB34B5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lomakinaNV67@yandex.ru</w:t>
      </w: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, либо в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гугл</w:t>
      </w:r>
      <w:proofErr w:type="spellEnd"/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7"/>
          <w:szCs w:val="47"/>
          <w:lang w:eastAsia="ru-RU"/>
        </w:rPr>
      </w:pP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Опытным путём было доказано, что масса ядра оказывается меньше, чем масса протонов и нейтронов, из которых состоит ядро. Разница между этими массами называется дефектом массы ядра.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Дефект массы ядра (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Δ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) — это разница между  суммарной массой свободных нуклонов, из которых состоит ядро, и массой ядра.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</w:t>
      </w:r>
    </w:p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Δ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Zm</w:t>
      </w:r>
      <w:r w:rsidRPr="00A9448D">
        <w:rPr>
          <w:rFonts w:ascii="MathJax_Math-italic" w:eastAsia="Times New Roman" w:hAnsi="MathJax_Math-italic" w:cs="Arial"/>
          <w:color w:val="76A900"/>
          <w:sz w:val="26"/>
          <w:lang w:eastAsia="ru-RU"/>
        </w:rPr>
        <w:t>p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Nm</w:t>
      </w:r>
      <w:r w:rsidRPr="00A9448D">
        <w:rPr>
          <w:rFonts w:ascii="MathJax_Math-italic" w:eastAsia="Times New Roman" w:hAnsi="MathJax_Math-italic" w:cs="Arial"/>
          <w:color w:val="76A900"/>
          <w:sz w:val="26"/>
          <w:lang w:eastAsia="ru-RU"/>
        </w:rPr>
        <w:t>n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proofErr w:type="gramStart"/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gramEnd"/>
      <w:r w:rsidRPr="00A9448D">
        <w:rPr>
          <w:rFonts w:ascii="Arial" w:eastAsia="Times New Roman" w:hAnsi="Arial" w:cs="Arial"/>
          <w:i/>
          <w:iCs/>
          <w:color w:val="76A900"/>
          <w:sz w:val="21"/>
          <w:lang w:eastAsia="ru-RU"/>
        </w:rPr>
        <w:t>я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Почему же масса нуклонов, связанных ядерными силами в ядро, оказывается меньше массы этих же нуклонов в свободном состоянии? Оказывается, что масса и энергия </w:t>
      </w:r>
      <w:proofErr w:type="gramStart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взаимосвязаны</w:t>
      </w:r>
      <w:proofErr w:type="gramEnd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Всякое тело массой </w:t>
      </w:r>
      <w:proofErr w:type="spellStart"/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m</w:t>
      </w:r>
      <w:proofErr w:type="spellEnd"/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обладает энергией, которая называется энергией  покоя (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E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0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):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</w:t>
      </w:r>
    </w:p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E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0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mc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2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, где  </w:t>
      </w:r>
      <w:proofErr w:type="spellStart"/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c</w:t>
      </w:r>
      <w:proofErr w:type="spellEnd"/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— скорость света в вакууме.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Впервые соотношение между энергией и массой вывел Альберт Эйнштейн, поэтому это выражение и получило название </w:t>
      </w: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уравнение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Эйнштейна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7"/>
          <w:szCs w:val="47"/>
          <w:lang w:eastAsia="ru-RU"/>
        </w:rPr>
      </w:pPr>
      <w:r w:rsidRPr="00A9448D">
        <w:rPr>
          <w:rFonts w:ascii="Arial" w:eastAsia="Times New Roman" w:hAnsi="Arial" w:cs="Arial"/>
          <w:color w:val="4E4E3F"/>
          <w:sz w:val="47"/>
          <w:szCs w:val="47"/>
          <w:lang w:eastAsia="ru-RU"/>
        </w:rPr>
        <w:t>Энергия связи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Уменьшение энергии покоя нуклонов в ядре вызвано наличием ядерных сил, которые удерживают протоны и нейтроны в ядре. Работа, которую необходимо совершить для разрыва ядерных сил и разъединения нуклонов, равна энергии, которая связывает нуклоны вместе. Эта энергия называется </w:t>
      </w: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энергией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связи 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(</w:t>
      </w:r>
      <w:proofErr w:type="spellStart"/>
      <w:proofErr w:type="gramStart"/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E</w:t>
      </w:r>
      <w:proofErr w:type="gramEnd"/>
      <w:r w:rsidRPr="00A9448D">
        <w:rPr>
          <w:rFonts w:ascii="Arial" w:eastAsia="Times New Roman" w:hAnsi="Arial" w:cs="Arial"/>
          <w:i/>
          <w:iCs/>
          <w:color w:val="76A900"/>
          <w:sz w:val="21"/>
          <w:lang w:eastAsia="ru-RU"/>
        </w:rPr>
        <w:t>св</w:t>
      </w:r>
      <w:proofErr w:type="spellEnd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) ядра.</w:t>
      </w:r>
    </w:p>
    <w:p w:rsidR="00A9448D" w:rsidRPr="00A9448D" w:rsidRDefault="00A9448D" w:rsidP="00A9448D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Энергия связи и дефект массы ядра связаны между собой уравнением Эйнштейна:</w:t>
      </w:r>
    </w:p>
    <w:p w:rsidR="00A9448D" w:rsidRPr="00A9448D" w:rsidRDefault="00A9448D" w:rsidP="00A9448D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9448D" w:rsidRPr="00A9448D" w:rsidRDefault="00A9448D" w:rsidP="00A9448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proofErr w:type="gramStart"/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E</w:t>
      </w:r>
      <w:proofErr w:type="gramEnd"/>
      <w:r w:rsidRPr="00A9448D">
        <w:rPr>
          <w:rFonts w:ascii="Arial" w:eastAsia="Times New Roman" w:hAnsi="Arial" w:cs="Arial"/>
          <w:i/>
          <w:iCs/>
          <w:color w:val="76A900"/>
          <w:sz w:val="21"/>
          <w:lang w:eastAsia="ru-RU"/>
        </w:rPr>
        <w:t>св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=Δ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mc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2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 Удельной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 </w:t>
      </w: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энергией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 </w:t>
      </w:r>
      <w:r w:rsidRPr="00A9448D">
        <w:rPr>
          <w:rFonts w:ascii="Arial" w:eastAsia="Times New Roman" w:hAnsi="Arial" w:cs="Arial"/>
          <w:b/>
          <w:bCs/>
          <w:color w:val="76A900"/>
          <w:sz w:val="25"/>
          <w:lang w:eastAsia="ru-RU"/>
        </w:rPr>
        <w:t>связи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ядра называют энергию связи, приходящуюся на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нуклон: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 </w:t>
      </w:r>
    </w:p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</w:pPr>
      <w:proofErr w:type="spellStart"/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f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proofErr w:type="gramStart"/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E</w:t>
      </w:r>
      <w:proofErr w:type="gramEnd"/>
      <w:r w:rsidRPr="00A9448D">
        <w:rPr>
          <w:rFonts w:ascii="Arial" w:eastAsia="Times New Roman" w:hAnsi="Arial" w:cs="Arial"/>
          <w:i/>
          <w:iCs/>
          <w:color w:val="76A900"/>
          <w:sz w:val="21"/>
          <w:lang w:eastAsia="ru-RU"/>
        </w:rPr>
        <w:t>св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A</w:t>
      </w:r>
      <w:proofErr w:type="spellEnd"/>
      <w:r w:rsidRPr="00A9448D">
        <w:rPr>
          <w:rFonts w:ascii="Arial" w:eastAsia="Times New Roman" w:hAnsi="Arial" w:cs="Arial"/>
          <w:b/>
          <w:bCs/>
          <w:color w:val="4E4E3F"/>
          <w:sz w:val="25"/>
          <w:szCs w:val="25"/>
          <w:lang w:eastAsia="ru-RU"/>
        </w:rPr>
        <w:t>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Удельная энергия равна средней энергии, необходимой для отрыва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нуклона от ядра.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Вычисления показали, что наибольшей удельной энергией связи обладают элементы, находящиеся в центре Периодической системы химических элементов. С увеличением порядкового номера начинает уменьшаться удельная энергия связи. Именно поэтому ядра элементов с порядковым номером больше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83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являются радиоактивными. Благодаря небольшой удельной энергии связи они способны самопроизвольно распадаться.</w:t>
      </w:r>
    </w:p>
    <w:p w:rsidR="00A9448D" w:rsidRPr="00A9448D" w:rsidRDefault="00A9448D" w:rsidP="00A9448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7"/>
          <w:szCs w:val="47"/>
          <w:lang w:eastAsia="ru-RU"/>
        </w:rPr>
      </w:pPr>
      <w:r w:rsidRPr="00A9448D">
        <w:rPr>
          <w:rFonts w:ascii="Arial" w:eastAsia="Times New Roman" w:hAnsi="Arial" w:cs="Arial"/>
          <w:color w:val="4E4E3F"/>
          <w:sz w:val="47"/>
          <w:szCs w:val="47"/>
          <w:lang w:eastAsia="ru-RU"/>
        </w:rPr>
        <w:lastRenderedPageBreak/>
        <w:t>Единицы измерения энергии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В ядерной физике принято измерять энергию  в </w:t>
      </w:r>
      <w:proofErr w:type="spellStart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мегаэлектронвольтах</w:t>
      </w:r>
      <w:proofErr w:type="spellEnd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 (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МэВ):</w:t>
      </w:r>
    </w:p>
    <w:p w:rsidR="00A9448D" w:rsidRPr="00A9448D" w:rsidRDefault="00A9448D" w:rsidP="00A9448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МэВ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6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эВ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≈1,6</w:t>
      </w:r>
      <w:r w:rsidRPr="00A9448D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−13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Дж.</w:t>
      </w:r>
    </w:p>
    <w:p w:rsidR="00A9448D" w:rsidRPr="00A9448D" w:rsidRDefault="00A9448D" w:rsidP="00A94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Для вычисления энергии связи удобно пользоваться переводным коэффициентом для массы и энергии.</w:t>
      </w:r>
    </w:p>
    <w:p w:rsidR="00A9448D" w:rsidRPr="00A9448D" w:rsidRDefault="00A9448D" w:rsidP="00A9448D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Дефекту массы в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а. е. м. соответствует энергия, равная</w:t>
      </w:r>
    </w:p>
    <w:p w:rsidR="00A9448D" w:rsidRPr="00A9448D" w:rsidRDefault="00A9448D" w:rsidP="00A9448D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</w:p>
    <w:p w:rsidR="00A9448D" w:rsidRPr="00A9448D" w:rsidRDefault="00A9448D" w:rsidP="00A9448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Δ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E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=Δ</w:t>
      </w:r>
      <w:r w:rsidRPr="00A9448D">
        <w:rPr>
          <w:rFonts w:ascii="MathJax_Math-italic" w:eastAsia="Times New Roman" w:hAnsi="MathJax_Math-italic" w:cs="Arial"/>
          <w:color w:val="76A900"/>
          <w:sz w:val="30"/>
          <w:lang w:eastAsia="ru-RU"/>
        </w:rPr>
        <w:t>mc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2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≈1,66</w:t>
      </w:r>
      <w:r w:rsidRPr="00A9448D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−27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кг </w:t>
      </w:r>
      <w:r w:rsidRPr="00A9448D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A9448D">
        <w:rPr>
          <w:rFonts w:ascii="Times New Roman" w:eastAsia="Times New Roman" w:hAnsi="Times New Roman" w:cs="Times New Roman"/>
          <w:color w:val="76A900"/>
          <w:sz w:val="30"/>
          <w:lang w:eastAsia="ru-RU"/>
        </w:rPr>
        <w:t>(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3</w:t>
      </w:r>
      <w:r w:rsidRPr="00A9448D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8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м/с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2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≈1,49</w:t>
      </w:r>
      <w:r w:rsidRPr="00A9448D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A9448D">
        <w:rPr>
          <w:rFonts w:ascii="MathJax_Main" w:eastAsia="Times New Roman" w:hAnsi="MathJax_Main" w:cs="Arial"/>
          <w:color w:val="76A900"/>
          <w:sz w:val="26"/>
          <w:lang w:eastAsia="ru-RU"/>
        </w:rPr>
        <w:t>−10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Дж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=931,5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МэВ.</w:t>
      </w:r>
    </w:p>
    <w:p w:rsidR="00A9448D" w:rsidRPr="00A9448D" w:rsidRDefault="00A9448D" w:rsidP="00A9448D">
      <w:pPr>
        <w:shd w:val="clear" w:color="auto" w:fill="FFFFFF"/>
        <w:spacing w:after="123" w:line="240" w:lineRule="auto"/>
        <w:rPr>
          <w:rFonts w:ascii="Arial" w:eastAsia="Times New Roman" w:hAnsi="Arial" w:cs="Arial"/>
          <w:i/>
          <w:iCs/>
          <w:color w:val="4E4E3F"/>
          <w:sz w:val="38"/>
          <w:szCs w:val="38"/>
          <w:lang w:eastAsia="ru-RU"/>
        </w:rPr>
      </w:pPr>
      <w:r w:rsidRPr="00A9448D">
        <w:rPr>
          <w:rFonts w:ascii="Arial" w:eastAsia="Times New Roman" w:hAnsi="Arial" w:cs="Arial"/>
          <w:i/>
          <w:iCs/>
          <w:color w:val="4E4E3F"/>
          <w:sz w:val="38"/>
          <w:szCs w:val="38"/>
          <w:lang w:eastAsia="ru-RU"/>
        </w:rPr>
        <w:t>Обрати внимание!</w:t>
      </w:r>
    </w:p>
    <w:p w:rsidR="00A9448D" w:rsidRPr="00A9448D" w:rsidRDefault="00A9448D" w:rsidP="00A9448D">
      <w:pPr>
        <w:spacing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Для выражения изменения энергии системы в </w:t>
      </w:r>
      <w:proofErr w:type="spellStart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мегаэлектронвольтах</w:t>
      </w:r>
      <w:proofErr w:type="spellEnd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 нужно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br/>
        <w:t>изменение массы системы в атомных единицах массы умножить на переводной коэффициент 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931,5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 xml:space="preserve">  МэВ/а. е. </w:t>
      </w:r>
      <w:proofErr w:type="gramStart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м</w:t>
      </w:r>
      <w:proofErr w:type="gramEnd"/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.</w:t>
      </w:r>
    </w:p>
    <w:p w:rsidR="00A9448D" w:rsidRPr="00A9448D" w:rsidRDefault="00A9448D" w:rsidP="00A9448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5"/>
          <w:szCs w:val="25"/>
          <w:lang w:eastAsia="ru-RU"/>
        </w:rPr>
      </w:pP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а. е. м.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</w:t>
      </w:r>
      <w:r w:rsidRPr="00A9448D">
        <w:rPr>
          <w:rFonts w:ascii="MathJax_Main" w:eastAsia="Times New Roman" w:hAnsi="MathJax_Main" w:cs="Arial"/>
          <w:color w:val="76A900"/>
          <w:sz w:val="30"/>
          <w:lang w:eastAsia="ru-RU"/>
        </w:rPr>
        <w:t>931,5</w:t>
      </w:r>
      <w:r w:rsidRPr="00A9448D">
        <w:rPr>
          <w:rFonts w:ascii="Arial" w:eastAsia="Times New Roman" w:hAnsi="Arial" w:cs="Arial"/>
          <w:color w:val="4E4E3F"/>
          <w:sz w:val="25"/>
          <w:szCs w:val="25"/>
          <w:lang w:eastAsia="ru-RU"/>
        </w:rPr>
        <w:t> МэВ.</w:t>
      </w:r>
    </w:p>
    <w:p w:rsidR="00180DC5" w:rsidRDefault="00180DC5"/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448D"/>
    <w:rsid w:val="00180DC5"/>
    <w:rsid w:val="00A9448D"/>
    <w:rsid w:val="00FC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A9448D"/>
  </w:style>
  <w:style w:type="character" w:customStyle="1" w:styleId="mo">
    <w:name w:val="mo"/>
    <w:basedOn w:val="a0"/>
    <w:rsid w:val="00A9448D"/>
  </w:style>
  <w:style w:type="character" w:customStyle="1" w:styleId="gxst-emph">
    <w:name w:val="gxst-emph"/>
    <w:basedOn w:val="a0"/>
    <w:rsid w:val="00A9448D"/>
  </w:style>
  <w:style w:type="character" w:customStyle="1" w:styleId="mn">
    <w:name w:val="mn"/>
    <w:basedOn w:val="a0"/>
    <w:rsid w:val="00A94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019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197">
                      <w:marLeft w:val="0"/>
                      <w:marRight w:val="0"/>
                      <w:marTop w:val="383"/>
                      <w:marBottom w:val="3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8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303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7797">
                                              <w:marLeft w:val="0"/>
                                              <w:marRight w:val="0"/>
                                              <w:marTop w:val="383"/>
                                              <w:marBottom w:val="38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1911">
                                                  <w:marLeft w:val="0"/>
                                                  <w:marRight w:val="0"/>
                                                  <w:marTop w:val="383"/>
                                                  <w:marBottom w:val="383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  <w:divsChild>
                                                    <w:div w:id="18222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3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02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471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057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585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043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004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6786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658">
              <w:marLeft w:val="0"/>
              <w:marRight w:val="0"/>
              <w:marTop w:val="383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720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534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48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4258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429"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60636">
                  <w:marLeft w:val="0"/>
                  <w:marRight w:val="0"/>
                  <w:marTop w:val="383"/>
                  <w:marBottom w:val="383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  <w:div w:id="1403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841">
                      <w:marLeft w:val="0"/>
                      <w:marRight w:val="0"/>
                      <w:marTop w:val="383"/>
                      <w:marBottom w:val="383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>Hewlett-Packard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2020-04-13T10:50:00Z</dcterms:created>
  <dcterms:modified xsi:type="dcterms:W3CDTF">2020-04-13T10:52:00Z</dcterms:modified>
</cp:coreProperties>
</file>