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20" w:rsidRPr="00692B84" w:rsidRDefault="00FF1B20" w:rsidP="00692B84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2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гр. № 43</w:t>
      </w:r>
    </w:p>
    <w:p w:rsidR="00FF1B20" w:rsidRPr="00692B84" w:rsidRDefault="00FF1B20" w:rsidP="00692B84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2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Дата: 2</w:t>
      </w:r>
      <w:r w:rsidR="00692B84" w:rsidRPr="00692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692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.04.2020</w:t>
      </w:r>
    </w:p>
    <w:p w:rsidR="00692B84" w:rsidRPr="00692B84" w:rsidRDefault="00FF1B20" w:rsidP="00692B84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2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Тема: </w:t>
      </w:r>
      <w:r w:rsidR="00692B84" w:rsidRPr="00692B84">
        <w:rPr>
          <w:rFonts w:ascii="Times New Roman" w:hAnsi="Times New Roman" w:cs="Times New Roman"/>
          <w:b/>
          <w:bCs/>
          <w:sz w:val="24"/>
          <w:szCs w:val="24"/>
        </w:rPr>
        <w:t>Проблемы социально- экономического и культурного развития России в начале 21 века. Россия и СНГ на постсоветском пространстве, шаги к созданию экономического союза. Культурные связи России.</w:t>
      </w:r>
    </w:p>
    <w:p w:rsidR="00FF1B20" w:rsidRPr="00692B84" w:rsidRDefault="00FF1B20" w:rsidP="00692B84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F1B20" w:rsidRPr="00692B84" w:rsidRDefault="00FF1B20" w:rsidP="00692B84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B84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</w:t>
      </w:r>
    </w:p>
    <w:p w:rsidR="00FF1B20" w:rsidRPr="00692B84" w:rsidRDefault="00FF1B20" w:rsidP="00692B8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ind w:right="55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B8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Изучите внимательно материал.</w:t>
      </w:r>
    </w:p>
    <w:p w:rsidR="00692B84" w:rsidRPr="00692B84" w:rsidRDefault="00692B84" w:rsidP="00692B84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особенности социально- экономического и политического развития России в 1990- е годы?</w:t>
      </w:r>
    </w:p>
    <w:p w:rsidR="00692B84" w:rsidRPr="00692B84" w:rsidRDefault="00692B84" w:rsidP="00692B84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достижения и проблемы.</w:t>
      </w:r>
    </w:p>
    <w:p w:rsidR="00692B84" w:rsidRPr="00692B84" w:rsidRDefault="00692B84" w:rsidP="00692B84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hAnsi="Times New Roman" w:cs="Times New Roman"/>
          <w:bCs/>
          <w:sz w:val="24"/>
          <w:szCs w:val="24"/>
        </w:rPr>
        <w:t xml:space="preserve">Как складываются отношения </w:t>
      </w:r>
      <w:r w:rsidRPr="00692B84">
        <w:rPr>
          <w:rFonts w:ascii="Times New Roman" w:hAnsi="Times New Roman" w:cs="Times New Roman"/>
          <w:bCs/>
          <w:sz w:val="24"/>
          <w:szCs w:val="24"/>
        </w:rPr>
        <w:t>Россия и СНГ на постсоветском пространстве</w:t>
      </w:r>
    </w:p>
    <w:p w:rsidR="00692B84" w:rsidRPr="00692B84" w:rsidRDefault="00692B84" w:rsidP="00692B84">
      <w:pPr>
        <w:shd w:val="clear" w:color="auto" w:fill="FFFFFF"/>
        <w:spacing w:after="0" w:line="0" w:lineRule="atLeast"/>
        <w:ind w:right="55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2B84" w:rsidRPr="00692B84" w:rsidRDefault="00692B84" w:rsidP="00692B84">
      <w:pPr>
        <w:shd w:val="clear" w:color="auto" w:fill="FFFFFF"/>
        <w:spacing w:after="0" w:line="0" w:lineRule="atLeast"/>
        <w:ind w:right="55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СОЦИАЛЬНО-ЭКОНОМИЧЕСКОЕ И ПОЛИТИЧЕСКОЕ РАЗВИТИЕ РОССИИ В 1990-Е ГОДЫ: ДОСТИЖЕНИЯ И ПРОБЛЕМЫ.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90-х годов произошли радикальные перемены в экономике и социальной структуре российской общества. В стране сложилось рыночное хозяйство, мало отличающееся от экономики среднеразвитых капиталистических государств. Однако данная социально-экономическая система имела ряд недостатков. Отсутствовала юридическая защита прав собственности и отечественных производителей. Не был разработан план социальной защиты населения. Не уменьшились размеры внешнего долга.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находилось в депрессивном состоянии. Руководство страны обладало недостаточной компетентностью. Все это привело в августе 1998 г. к финансовому кризису. Кризис поразил все отрасли хозяйства. Потери банковской системы составила 100 – 150 млрд. руб.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Финансово-экономический кризис тяжело отразился на положении российского населения. Стали привычными задержки выплат заработной платы и пенсий. В 1999 г. насчитывалось 8,9 млн. безработных, что составляло 12,4% трудоспособного населения страны: за 1989 – 1999 гг. его численность сократилась на 2 млн. человек.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 второй половине 1999 г. были преодолены негативные последствия кризиса. Начался медленный подъем производства.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политической жизни отчетливо проявился кризис власти. Падал авторитет </w:t>
      </w:r>
      <w:hyperlink r:id="rId5" w:history="1">
        <w:r w:rsidRPr="00692B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Б.Н. Ельцина</w:t>
        </w:r>
      </w:hyperlink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Участились кадровые перестановки в правительстве, министерствах и ведомствах. С апреля 1998 г. по март 2000 г. на должности Председателя Правительства РФ сменились 5 человек: С.В. Кириенко, В.С. Черномырдин, Е.М. Примаков, С.В. Степашин, В.В. Путин. В апреле 2000г. главой правительства стал М.М. Касьянов. В 2004 г. его сменил Фрадков. Однако смена лидеров правительства не меняла положения в стране. По-прежнему не проводилась стратегия развития реформы в экономике и политике. В республиках и областях принимались законы, противоречащие федеральному законодательству.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1999 г. вновь обострилась обстановка в Чечне. Усилилось сепаратистское движение во главе с президентом Асланом Масхадовым. Участились террористические акты чеченских боевиков. Чечня стала центром международного терроризма. Все это стало причинами второй чеченской войны (август 1999 г.), гибелью А. Масхадова.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1999 г. состоялись очередные выборы в Государственную Думу. В избирательной кампании приняли участие многие объединения и партии: «Наш дом - Россия», КПРФ, ЛДПР, «Яблоко». Проявились новые политические движения: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«Отечество – вся Россия» (лидеры – Е.М. Примаков, Ю.М. Лужков), «Союз правых сил» (С.В. Кириенко, Б.Е. Немцов, И. Хакамада), «Единство» (С. Шойгу).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выборов в составе III Государственной Думы лидирующим фракциями стали «Единство» и КПРФ, а в IV Государственной Думе (декабрь 2003 г.) большинство принадлежит «Единой России».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1999 г. о своем досрочном уходе в отставку объявил первый Президент РФ Б.Н. Ельцин. Временно исполняющим президентские обязанности он назначил В.В. Путина На выборах 26 марта 2000 г. В.В. Путин был избран президентом РФ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2004 г. Путин В.В. был переизбран на второй срок.</w:t>
      </w:r>
    </w:p>
    <w:p w:rsidR="00692B84" w:rsidRPr="00692B84" w:rsidRDefault="00692B84" w:rsidP="00692B84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черты общественно-политической жизни России начала XXI </w:t>
      </w:r>
      <w:proofErr w:type="gramStart"/>
      <w:r w:rsidRPr="00692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92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тысячелетие Россия встретила с новым — моло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дым, пользующимся высоким доверием народа Президен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— </w:t>
      </w:r>
      <w:hyperlink r:id="rId6" w:history="1">
        <w:r w:rsidRPr="00692B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В. Путиным</w:t>
        </w:r>
      </w:hyperlink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канун 2000 г. он опубликовал ста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«Россия на рубеже тысячелетий», в которой изложил свое видение задач и проблем, стоящих перед российским обще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ством: укрепление демократического, правового, дееспособ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федеративного государства; повышение эффективности социально-экономической политики; поддержка науки, об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культуры, здравоохранения.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трезво и жестко отмечалось, что страна «стоит перед лицом реальной опасности оказаться во втором, а то и в третьем эшелоне го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 в мире».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шаги нового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затронули политическую сферу. В мае 2000 г. Президент своим Указом № 849 «О полномочных представителях Президента Россий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 в федеральных округах» в целях повышения эффективности органов власти и совершенствования систе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их решений разделил страну на семь округов. В каждый из них были назначены полити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представители Президента. Они инициировали рабо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отмене правовых актов субъектов РФ, противоречащих Конституции России.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начала 2000 г. в Совете Феде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заседали непосредственно руководители субъектов Федерации: президенты, губернаторы и председатели законо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дательных (представительных) органов, то теперь законода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было закреплено, что от субъектов Федерации делеги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 в верхнюю палату российского парламента не первых лиц регионов, а их представителей. Это уменьшило вес и ав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торитет руководителей регионов, да и самого Совета Федерации. При этом роль Президента России, центральной власти еще более возросла. В августе 2000 г. был создан совещатель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орган при Президенте РФ, формируемый из представи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губернаторского корпуса, — Государственный совет, призванный давать стратегические рекомендации для разра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ботки новой законодательной базы.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президентства Б. Н. Ельцина в рос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бюрократии сформировались два клана. Они были представлены общественно-политическими объединениями «Единство» и «Отечество». В. В. Путин, сделав ставку на бю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рократию как единственную в стране организованную, спло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ченную, относительно дисциплинированную социальную группу, традиционно являвшуюся основной двигательной силой отечественного исторического процесса, добился ее консолидации. К парламентским выборам 2003 г. на основе двух общественно-политических объединений российского чиновничества была сформирована Всероссийская полити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партия «Единая Россия». Она одержала убедительную победу на выборах 7 декабря 2003 г., набрав 37,5% голосов из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бирателей, значительно опередив своих соперников комму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нистов (12,6% голосов), 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жириновцев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(11,5%) и представите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созданного Кремлем с целью раскола коммунистического электората блока «Родина» (9% голосов).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Государственную Думу четвертого созыва по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казали кризис либерально-демократического направления общественно-политической жизни. Партии этого спектра — «Яблоко» и «Союз правых сил» — не прошли в Думу, набрав менее 5% голосов избирателей каждая. Кроме того, выявился сдвиг общественного сознания: все оппозиционные «Единой России» партии в IV Государственной Думе занимали нацио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налистические и лево-социалистические позиции.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ситуация, когда стала явной неготовность россий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общества к усвоению демократических норм и прин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ципов, подтолкнула идеологическое окружение Президента к дальнейшему укреплению мягко авторитарного режима, что проявилось в разработке концепции управляемой или суве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ренной демократии.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2000-2003 гг. главе государства удалось сформировать устойчивое большинство в Государственной Думе на основе фракций «Единство», «Отечество — Вся Россия», «Народный депутат» и группы «Регионы России», что способствовало поддержке президентских законодательных инициатив. В 2004 г. при Президенте В. В. Путине изменилось за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конодательство об избрании глав регионов. Если раньше они избирались на всеобщих выборах, то теперь кандидату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 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пост руководителей субъектов РФ стали предлагаться Президентом РФ, а решение о наделении их полномочиями стал принимать региональный законодательный орган. Та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образом, окрепла «вертикаль власти», страна стала более управляемой.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составляющим элементом политических пре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образований В. В. Путина стало партийное строительство. В 2001 г. был принят Федеральный закон «О политических партиях», предусматривающий минимальную численность политической партии не менее 10 тыс. человек, что привело к сокращению числа зарегистрированных политических пар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в стране. В 2004 г. в этот Закон были внесены изменения, и минимальная численность политической партии возросла до 50 тыс. человек.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же была введена пропорциональная система выборов в Государственную Думу (по партийным спискам) вместо прежней смешанной избирательной систе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(по партийным спискам и по одномандатным избира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округам), а минимальный процент голосов, который должна была набрать политическая партия для допуска к рас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пределению мест в Государственной Думе («заградительный барьер»), был поднят с 5 до 7%.</w:t>
      </w:r>
      <w:proofErr w:type="gramEnd"/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смешанной избирательной системы к пропор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циональной преследовал цели упрочения демократии, рас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ширения представительства оппозиции в законодательных органах власти, усиления влияния партий на формирование демократической власти, роста конкуренции между ними,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укрепления и улучшения качества россий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политической системы.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состоявшихся 14 марта 2004 г. президентских выборах в первом туре с огромным отрывом от соперников победил действовавший Президент В. В. Путин.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 социальным преобразованиям начала XXI в. следует отнести судебную, армейскую, пенсионную реформы, изменения в области образования и здравоохра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Судебная реформа представляла собой комплекс мер, направленных на повышение авторитета и независимости третьей власти. С 1 июля 2002 г. в стране был введен в дей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новый Уголовно-процессуальный кодекс РФ, заме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нивший устаревший и не отвечающий современным реалиям УПК РСФСР.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УПК РФ обеспечивает участие защитника уже на первом этапе досудебных разбирательств. С мо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задержания человек может воспользоваться своим пра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на услуги адвоката, в том числе на безвозмездной основе. Правоохранительные органы должны получать разрешение суда для заключения под стражу, обыска, временного отстра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от должности, прослушивания телефонных разгово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Судебная реформа 2002 г. укрепила независимость орга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юстиции, усилила бремя доказатель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прокуратуры и защиту прав обвиняемых.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армии опиралась на достаточно разработанную нормативно-правовую базу: Концепцию национальной без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 РФ, Военную доктрину РФ, Государственную про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грамму вооружений на 2001-2010 гг., Основы государствен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политики РФ по военному строительству и др. Основным нововведением реформы являлось изменение принципов комплектования личного состава и перевооружения войск современными видами вооружений. Произошло сокращение личного состава вооруженных сил до 1 </w:t>
      </w:r>
      <w:proofErr w:type="spellStart"/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В 2002 г. был принят Федеральный закон «Об альтернативной гражданской службе».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службы 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солдат-срочников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2008 г. был сокращен с двух лет до одного года. Одним из приори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тетов реформы стал постепенный переход к профессиональ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армии, к формированию частей постоянной готовности. В целом реформа способствовала повышению обороноспо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собности страны.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последовательной и жесткой стала политика по от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ношению к чеченским сепаратистам. После заключения 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Хаса-вюртских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Чечня фактически стала независимой. Оттуда были выведены российские войска, там не действо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 российские органы власти. Это привело к образованию на территории республики мятежно-террористического ан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клава, находящегося под контролем полевых командиров — террористов. Здесь прекратились занятия в школах, выпла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пенсий, практически было разрушено здравоохранение, практиковались похищение людей, работорговля, угон скота с соседних территорий.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1999 г. с территории Чечни в Дагестан вторглись отряды исламских боевиков. В Москве, Буйнакске, Волго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донске ими были взорваны жилые дома. Российское пра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вительство ответило на это проведением в Чечне мощной 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операции. Она была поддержана подавляющим большинством населения страны и вызвала консолидацию основных политических сил. К 2001 г. масштабные военные действия были в основном прекращены. В Чечне начался процесс восстановления органов власти.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муфтий Чечни А. Кадыров был назначен главой местной администрации, а после его гибели в резуль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тате террористического акта республику возглавил его сын 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Рамзан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Кадыров. Ему 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удалось в очень сложной обстановке в определенной мере удерживать ситуацию в республике под контролем. Боевики перешли к тактике партизанской войны и проведению террористических акций, направленных про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мирного населения (взятие заложников зрителей мю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зикла «Норд-Ост» в Москве в 2002 г., взрывы в московском метро, захват заложников в средней школе № 1 г. Беслана в Северной Осетии в 2004 г. и др.).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начатой в 2002 г. по инициативе главы го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 пенсионной реформы возникла из-за ухудшения демографической ситуации в России. Реформирование пен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сионного обеспечения преследовало цель — переход от чисто распределительной системы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распределительно-накопи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тельной. Наряду с государственным обеспечением пенсион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средства пополнились обязательной накопительной ча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 индивидуальными добровольными взносами.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2005 г. В. В. Путин в обращении к правительству, парламенту и руководителям регионов выдвинул программу приоритетных национальных проектов: здравоохранение, образование, жилье, сельское хозяйство. В 2005 г. был создан Совет по реализации этих проектов, который возглавил лич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Президент, введена должность нового вице-премьера, от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вечающего за реализацию приоритетных национальных про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заметным мероприятием в области экономи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стало установление «плоской» шкалы налогообложения. Если раньше уровень налогообложения повышался с ростом доходов, то теперь для всех, независимо от получаемых дохо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была установлена единая ставка уплаты налогов — 13%. Кроме того, был введен единый социальный налог, отменен ряд налоговых льгот. Подобная мера преследовала цель рас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ширения налогооблагаемой базы, привлечения инвестиций в экономику, легализации ее теневой части, ужесточения налоговой дисциплины. Эту же задачу ставил Федеральный закон от 7 августа 2001 г. № 115-ФЗ «О противодействии лега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(отмыванию) доходов, полученных преступным пу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тем, финансированию терроризма», на основе которого был создан орган финансовой разведки — Комитет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вому 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моторингу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2001 г. были приняты новые Земельный и Трудовой ко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дексы, обеспечивающие проведение реформ в области аграр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трудовых отношений. Серьезная борьба в Государствен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Думе развернулась вокруг правительственных инициатив, направленных на реформирование транспорта, энергетики, жилищно-коммунального хозяйства, законопроектов, каса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ющихся малого бизнеса, продолжения земельной реформы.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2003 г. было восстановлено доверие населения к банков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скому сектору, подорванное кризисом 1998 г. Объем вкладов стал увеличиваться, обозначился рост реальных доходов на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приоритетов В. В. Путина явилось «</w:t>
      </w:r>
      <w:proofErr w:type="spellStart"/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равно-удаление</w:t>
      </w:r>
      <w:proofErr w:type="spellEnd"/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олигархов» от социально-экономических и поли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привилегий. Ряду из них были инкриминированы многочисленные уголовные преступления. В результате этих кампаний произошли отстранение таких наиболее одиозных фигур, как Березовский, Гусинский, Ходорковский, от поли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деятельности, перераспределение их собственно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была предпринята попытка создать равные правила для всех участников хозяйственной деятельности, повысить со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циальную ответственность крупного бизнеса.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XXI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не раз высказывалась озабоченность развитием страны преимущественно за счет сырьевой составляющей. Попыткой преодоления «сырьевого крена» экономики явилось создание государственных корпо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раций: авиационной, судостроительной, «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Роснано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Ростех-нология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Они преследовали цель техноло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обновления экономики на основе концентрации частного и государственного капитала в наиболее наукоемких отраслях.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2008 г. на заседании Госсовета В. В. Путин оз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вучил </w:t>
      </w:r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амбициозную</w:t>
      </w:r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социально-экономического развития страны. Она получила название «План Путина». По нему к 2020 г. Россия должна войти в пятерку ведущих экономик мира, для чего ей необходимо добиться четырех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кратного роста производительности труда. Средние доходы россиян должны возрасти до 30 тыс. долларов в год, средняя продолжительность жизни увеличиться до 75 лет. Программа предусматривает проведение реформы здравоохранения, мо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дернизацию пенсионной системы, развитие инфраструктуры экономики, обеспечение рациональной интеграции России в систему мировой торговли.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Ужесточение финансовой политики, благоприятная ситу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ация на мировом рынке нефти, сложившиеся в 90-е гг. и за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работавшие рыночные механизмы позволили погасить долги по заработной плате, пенсиям, улучшить материальную обес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печенность населения.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Подводя итоги президентства В. В. Путина в 2000-2008 гг., следует отметить, что социально-экономическое развитие было успешным. По данным Международного валютного фонда (МФВ), объем валового внутреннего продукта (ВВП) России в текущих ценах вырос более чем в 6 раз — со 196 </w:t>
      </w:r>
      <w:proofErr w:type="spellStart"/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долл. (23 место в мире) в 1999 г. до 1290 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долл. — в 2007 г. (11 место в мире). Россия вышла на первое место по добыче нефти и газа. Объем продукции сельского хозяйства вырос более чем в 3 раза. Объем жилищного строительства почти удвоился. Экспорт вырос почти в 5 раз. Бюджет увеличил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 10 раз и стал </w:t>
      </w:r>
      <w:proofErr w:type="spell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профицитным</w:t>
      </w:r>
      <w:proofErr w:type="spell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Золотовалютные резервы выросли более чем в 40 раз. Государственный внешний долг снизился более чем в 3 раза — с 158,4 до 44,1 </w:t>
      </w:r>
      <w:proofErr w:type="spellStart"/>
      <w:proofErr w:type="gramStart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1999-2007 гг. средняя месячная зарплата выросла почти в 9 раз. Средний размер пенсий увеличился в 7 раз при инфля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возросшей в 2000-2007 гг. в 2,5 раза.</w:t>
      </w:r>
    </w:p>
    <w:p w:rsidR="00692B84" w:rsidRPr="00692B84" w:rsidRDefault="00692B84" w:rsidP="00692B8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страна сталкивалась с трудностями и про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блемами. Продолжалось падение численности населения России. Чиновный аппарат вырос в 1,5 раза. Увеличилась доля нефтегазового сектора в экономике страны. Серьезного перелома в сторону инновационного пути развития не про</w:t>
      </w:r>
      <w:r w:rsidRPr="00692B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изошло. Огромной проблемой, сдерживающей социально-экономическое развитие, оставалась коррупция. Несмотря на 8-летний экономический рост, инфраструктура России находилась в тяжелом положении, крайне низким оставался уровень инвестиций.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Политика России на постсоветском пространстве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Та политика, которую проводила Россия в 90-е годы на постсоветском пространстве в рамках СНГ и других интеграционных объединений, в 21 веке во все в большей степени перестала соответствовать, как внутренним вызовам, с которыми сталкивается Россия, так и новой геополитической обстановке в мире.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692B84">
        <w:t>Выхолащивание первоначального содержания договора о Содружестве Независимых Государств (единая оборонная политика, единое платежное средство, единое гуманитарное и культурное пространство, отсутствие таможенных границ и т.п.) превратило это объединение в клуб руководителей государств, которое существует сейчас только за счет того, что в пакете с ранее перечисленными, но не выполненными условиями были заложены льготные цены для стран СНГ на российские энергоносители.</w:t>
      </w:r>
      <w:proofErr w:type="gramEnd"/>
      <w:r w:rsidRPr="00692B84">
        <w:t xml:space="preserve"> Причем, по мере возрастания цен на энергоносители на мировом рынке, страны СНГ за счет льготных цен стали получать все большую фору по отношению к России. Не случайно Россия в 2004 году заняла последнее место по росту ВВП среди стран входящих в СНГ.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Страны постсоветского пространства после ориентационного периода начала и середины 90-х годов все в большей степени становятся субъектами влияния мировых центров силы и во все в большей степени утрачивают комплекс “большого брата” по отношению к России.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Все 90-е годы в этих странах шел процесс формирования   национальных элит с самым активным участием, как мировых, так и региональных держав в котором сосредоточенная на внутренних проблемах Россия участия практически не принимала. В результате в этих странах сформировались проамериканские, </w:t>
      </w:r>
      <w:proofErr w:type="spellStart"/>
      <w:r w:rsidRPr="00692B84">
        <w:t>проевропейские</w:t>
      </w:r>
      <w:proofErr w:type="spellEnd"/>
      <w:r w:rsidRPr="00692B84">
        <w:t xml:space="preserve">, </w:t>
      </w:r>
      <w:proofErr w:type="spellStart"/>
      <w:r w:rsidRPr="00692B84">
        <w:t>протурецкие</w:t>
      </w:r>
      <w:proofErr w:type="spellEnd"/>
      <w:r w:rsidRPr="00692B84">
        <w:t xml:space="preserve"> и т.п. элитные группы, а </w:t>
      </w:r>
      <w:proofErr w:type="spellStart"/>
      <w:r w:rsidRPr="00692B84">
        <w:t>пророссийские</w:t>
      </w:r>
      <w:proofErr w:type="spellEnd"/>
      <w:r w:rsidRPr="00692B84">
        <w:t>, а точнее остаточные просоветские, которым Россия оказывала поддержку,   постепенно оттеснялись на периферию политических процессов. Поставив только на консервацию существующих постсоветских политических элит, Россия не способствовала созданию механизмов цивилизованной передачи власти в странах СНГ.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Всевозможные формальные интеграционные объединения на постсоветском пространстве (СНГ, </w:t>
      </w:r>
      <w:proofErr w:type="spellStart"/>
      <w:r w:rsidRPr="00692B84">
        <w:t>ЕвроЗЭС</w:t>
      </w:r>
      <w:proofErr w:type="spellEnd"/>
      <w:r w:rsidRPr="00692B84">
        <w:t xml:space="preserve">, Союз России и Белоруссии, ЕЭП и т.п.) так и не стали по-настоящему привлекательными для ее членов в силу отсутствия у России реального и мощного </w:t>
      </w:r>
      <w:proofErr w:type="spellStart"/>
      <w:r w:rsidRPr="00692B84">
        <w:t>модернизационного</w:t>
      </w:r>
      <w:proofErr w:type="spellEnd"/>
      <w:r w:rsidRPr="00692B84">
        <w:t xml:space="preserve"> проекта, современной промышленной политики, сползания ее экономики на экспортно-сырьевую основу.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Интересы российского бизнеса и российского государства в постсоветских государствах давно разошлись. В ситуации тесной энергетической взаимозависимости наших стран отдельные российские энергетические гиганты проводят собственную политику. Интерес же государственный в их действиях часто не просматривается, что  самым серьезным образом </w:t>
      </w:r>
      <w:proofErr w:type="spellStart"/>
      <w:r w:rsidRPr="00692B84">
        <w:t>хаотизирует</w:t>
      </w:r>
      <w:proofErr w:type="spellEnd"/>
      <w:r w:rsidRPr="00692B84">
        <w:t xml:space="preserve"> результирующую политическую линию.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Дальнейшее инерционное проведение политики России 90-х годов в кардинально изменившихся условиях, сохранение Содружества независимых государств в аморфном, </w:t>
      </w:r>
      <w:proofErr w:type="spellStart"/>
      <w:r w:rsidRPr="00692B84">
        <w:t>нереформированном</w:t>
      </w:r>
      <w:proofErr w:type="spellEnd"/>
      <w:r w:rsidRPr="00692B84">
        <w:t xml:space="preserve"> виде  будет только множить поражения, более того, в значительной степени блокировать в дальнейшем выработку и реализацию новой политики России на постсоветском пространстве.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2.  Геополитические проблемы, способствующие кризису отношений на постсоветском пространстве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lastRenderedPageBreak/>
        <w:t>В результате распада сначала Варшавского договора, а затем и Советского Союза произошло резкое изменение всей расстановки сил на мировой арене. Этот процесс совпал с набирающей силу глобализацией и переформированием Европейского сообщества в конфедеративное государство, “либеральную империю” 21 века. Возникли новые центры мощного экономического роста такие, как Китай и Индия.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692B84">
        <w:t>Если   в первое десятилетие после распада большой советской империи происходила постепенная адаптация мировых центров силы к кардинально изменившимся условиям, шли относительно инерционные процессы по поглощению и НАТО и Европейским союзом стран Восточной Европы, то в последние годы интенсивность геополитического соперничества резко возросла, а фронт этой борьбы вплотную приблизился к границам России.</w:t>
      </w:r>
      <w:proofErr w:type="gramEnd"/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Соединенные Штаты явно озабочены формированием благоприятной геополитической конструкции в Закавказье и Центральной Азии направленной против Ирана и Китая. При этом</w:t>
      </w:r>
      <w:proofErr w:type="gramStart"/>
      <w:r w:rsidRPr="00692B84">
        <w:t>,</w:t>
      </w:r>
      <w:proofErr w:type="gramEnd"/>
      <w:r w:rsidRPr="00692B84">
        <w:t xml:space="preserve"> так как создание этой оси проходит на пространстве СНГ, то в качестве побочного эффекта идет интенсивное ослабление влияния России в этих регионах, которое она, естественно, рассматривает, как направленное против ее долгосрочных стратегических интересов.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Если в 90-е годы  существовала иллюзия о том, что интеграция с Европейским союзом ограничится только экономическими альянсами, то сейчас стало ясно, что эта интеграция предполагает практически полное политическое, экономическое и военное вовлечение стран-кандидатов с резким ограничением национального суверенитета.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В такой ситуации лозунг наиболее лояльных, по отношению к России, представителей политических элит постсоветских государств “В Европу вместе с Россией” становится абсолютно неактуальным. Современная модель формирования объединенной Европы совершенно не предполагает включения в ее состав Российской Федерации. Более того, все в большей мере вырисовываются контуры объединенной Европы с включением в нее Украины, Белоруссии и Молдавии с жесткими границами по отношению к России, которая рассматривается только как внешний поставщик энергоресурсов. Все разговоры о четырех общих пространствах, похоже, направлены только на то, чтобы нейтрализовать российское сопротивление экспансии Евросоюза на Восток. Тезис, выдвигаемый некоторыми российскими политологами о том, что концепция объединенной Европы приобретает все более открытый характер по отношению к России, постоянно опровергается реальными действиями Брюсселя.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Пользуясь пассивностью России, активно стали вести свои игры на постсоветском пространстве и такие относительно слабые геополитические игроки, как, например, Турция, Польша, Румыния и даже Литва.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692B84">
        <w:t>В такой ситуации “</w:t>
      </w:r>
      <w:proofErr w:type="spellStart"/>
      <w:r w:rsidRPr="00692B84">
        <w:t>многовекторность</w:t>
      </w:r>
      <w:proofErr w:type="spellEnd"/>
      <w:r w:rsidRPr="00692B84">
        <w:t>”, а если говорить прямо неопределенность и невнятность внешней политики России, отсутствие ясно выраженных и жестко отстаиваемых приоритетов, особенно на постсоветском пространстве,  приводит к тому, что из ведущего субъекта мировой политики она, пассивно реагируя на  новые вызовы, все в большей степени превращается в объект влияния реальных мировых игроков.</w:t>
      </w:r>
      <w:proofErr w:type="gramEnd"/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Политические предпосылки кризиса отношений на постсоветском пространстве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После распада Советского Союза в отличие от России, которая унаследовала столицу и кадры распавшегося общего государства, в новых независимых государствах формирование структуры власти, государственной элиты, национальной внутренней и внешней политики шло практически с чистого листа. Россия, занятая своими внутренними проблемами, практически не участвовала в этом процессе.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Зато самое активное участие в нем приняли всевозможные неправительственные организации США и европейских стран такие, как “</w:t>
      </w:r>
      <w:proofErr w:type="spellStart"/>
      <w:r w:rsidRPr="00692B84">
        <w:t>Фридом</w:t>
      </w:r>
      <w:proofErr w:type="spellEnd"/>
      <w:r w:rsidRPr="00692B84">
        <w:t xml:space="preserve"> </w:t>
      </w:r>
      <w:proofErr w:type="spellStart"/>
      <w:r w:rsidRPr="00692B84">
        <w:t>хаус</w:t>
      </w:r>
      <w:proofErr w:type="spellEnd"/>
      <w:r w:rsidRPr="00692B84">
        <w:t xml:space="preserve">”, фонд Карнеги, НДИ, фонд </w:t>
      </w:r>
      <w:proofErr w:type="spellStart"/>
      <w:r w:rsidRPr="00692B84">
        <w:t>Эберта</w:t>
      </w:r>
      <w:proofErr w:type="spellEnd"/>
      <w:r w:rsidRPr="00692B84">
        <w:t>, фонд Аденауэра и т.п. Через активную работу своих представитель</w:t>
      </w:r>
      <w:proofErr w:type="gramStart"/>
      <w:r w:rsidRPr="00692B84">
        <w:t>ств в стр</w:t>
      </w:r>
      <w:proofErr w:type="gramEnd"/>
      <w:r w:rsidRPr="00692B84">
        <w:t xml:space="preserve">анах СНГ, предоставление грантов, организацию выездов для обучения политическим технологиям они формировали проамериканскую и </w:t>
      </w:r>
      <w:proofErr w:type="spellStart"/>
      <w:r w:rsidRPr="00692B84">
        <w:t>проевропейскую</w:t>
      </w:r>
      <w:proofErr w:type="spellEnd"/>
      <w:r w:rsidRPr="00692B84">
        <w:t xml:space="preserve"> политическую элиту. Постсоветским странам были навязаны стандартные западные модели политического устройства вне зависимости от того насколько общество этих стран было готово их воспринять.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В результате под внешней демократической оболочкой (всеобщая выборность президентов, политические партии, выборный парламент на альтернативной основе) возникли или слабые и коррумпированные режимы или откровенные восточные деспотии. На постсоветском пространстве </w:t>
      </w:r>
      <w:r w:rsidRPr="00692B84">
        <w:lastRenderedPageBreak/>
        <w:t>так и не была решена проблема  легитимной передачи власти между элитными группами. Именно это является главной причиной того, что естественное обновление власти проходит все чаще в форме разноцветных революций.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Те постсоветские политические элиты,  которые Россия поддерживала долгое время за неимением элит </w:t>
      </w:r>
      <w:proofErr w:type="spellStart"/>
      <w:r w:rsidRPr="00692B84">
        <w:t>пророссийских</w:t>
      </w:r>
      <w:proofErr w:type="spellEnd"/>
      <w:r w:rsidRPr="00692B84">
        <w:t xml:space="preserve">, одна за другой уходят с политической арены, к чему Россия оказалась совершенно не готова. Импульсивные попытки </w:t>
      </w:r>
      <w:proofErr w:type="gramStart"/>
      <w:r w:rsidRPr="00692B84">
        <w:t>однозначно поддержать</w:t>
      </w:r>
      <w:proofErr w:type="gramEnd"/>
      <w:r w:rsidRPr="00692B84">
        <w:t xml:space="preserve"> в политическом противостоянии одну из противоборствующих сторон без соответствующей длительной подготовительной работы оборачиваются все новыми поражениями.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Новые политические элиты, которые сейчас начинают приходить к власти в постсоветских государствах, сформировались под активным  внешним влиянием и будут по отношению к России занимать в лучшем случае нейтральную, а в большинстве своем недружественную позицию. Искусственное воспроизведение внешних форм западной демократии, </w:t>
      </w:r>
      <w:proofErr w:type="spellStart"/>
      <w:r w:rsidRPr="00692B84">
        <w:t>непроработанность</w:t>
      </w:r>
      <w:proofErr w:type="spellEnd"/>
      <w:r w:rsidRPr="00692B84">
        <w:t xml:space="preserve"> механизмов легитимной передачи власти в постсоветских странах, будет способствовать постоянным выходам за пределы правового поля и разноцветным революциям, серьезной политической дестабилизации на границах России. 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Экономические предпосылки кризиса отношений на постсоветском пространстве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Удельный вес стран СНГ в российском внешнеторговом обороте уменьшился с 63% в 1990 г. до 21,5% в 1997 г. и продолжает уменьшаться. Если в 1988-1990 гг. в межреспубликанский (в границах бывшего СССР) товарооборот было вовлечено около четверти валового внутреннего продукта, то в настоящее время этот показатель снизился почти до одной десятой.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Наибольшая интенсивность товарооборота России сохраняется с Украиной, Белоруссией и Казахстаном, на долю </w:t>
      </w:r>
      <w:proofErr w:type="gramStart"/>
      <w:r w:rsidRPr="00692B84">
        <w:t>которых</w:t>
      </w:r>
      <w:proofErr w:type="gramEnd"/>
      <w:r w:rsidRPr="00692B84">
        <w:t>, приходится 87,5% российского экспорта и 84% импорта со странами Содружества. Для всего Содружества торговля с Россией, несмотря на резкое сокращение, по-прежнему имеет первостепенное значение, составляет свыше 50% их общего внешнеторгового оборота, а для Украины, Казахстана и Белоруссии - более 70%.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В отраслевой структуре промышленности всех стран СНГ продолжает возрастать доля продукции топливно-энергетических и других сырьевых отраслей и уменьшаться доля продукции обрабатывающих отраслей, особенно машиностроения и легкой промышленности.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В последние годы прослеживается тенденция на переориентацию стран Содружества на решение своих экономических задач вне рамок СНГ, с расчетом на возможность значительного расширения отношений со странами дальнего зарубежья.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Так, удельный вес их экспорта в страны дальнего зарубежья по сравнению с общим объемом экспорта составил в 2001 году у Азербайджана 93% против 58% в 1994 году, Армении соответственно - 70% и 27%, Грузии - 57% и 25% и Украины - 71% и 45 процентов. Соответствующим образом происходит и рост их импорта из стран дальнего зарубежья.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На развитие экономических отношений со странами СНГ продолжает оказывать влияние проблема погашения ими задолженности за предоставленные им ранее Россией государственные кредиты и поставленную российскими хозяйствующими субъектами продукцию. </w:t>
      </w:r>
      <w:proofErr w:type="gramStart"/>
      <w:r w:rsidRPr="00692B84">
        <w:t>Из указанной задолженности значительную часть занимают долги за предоставленные государственные кредиты (свыше 5 млрд. долларов), которые в основном урегулируются путем переноса сроков их погашения на более поздний период, передачи России в полную или частичную собственность объектов недвижимости на территории стран СНГ, а также зачета платежей России за аренду отдельных объектов на их территории (Казахстан и Украина).</w:t>
      </w:r>
      <w:proofErr w:type="gramEnd"/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В общем объеме долгов за поставленную российскими хозяйствующими субъектами продукцию основная часть задолженности стран СНГ приходится на топливно-энергетические ресурсы, которая составляет по расчетам примерно 3, 8 млрд. долларов. В основном должниками России являются предприятия Украины, Молдавии и Казахстана.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Таким образом, можно сделать вывод, что “единый </w:t>
      </w:r>
      <w:proofErr w:type="spellStart"/>
      <w:r w:rsidRPr="00692B84">
        <w:t>народохозяйственный</w:t>
      </w:r>
      <w:proofErr w:type="spellEnd"/>
      <w:r w:rsidRPr="00692B84">
        <w:t xml:space="preserve"> комплекс”, о восстановлении которого так много говорят, оправдывая существование неработающих интеграционных объединений, уже практически не существует. На смену ему сформировалась уродливая и затратная для России система дотирования уже существенно переориентированной на внешних потребителей промышленности стран СНГ российскими энергоносителями. За пределами топливно-энергетического комплекса практически нет совместных </w:t>
      </w:r>
      <w:proofErr w:type="spellStart"/>
      <w:r w:rsidRPr="00692B84">
        <w:t>модернизационных</w:t>
      </w:r>
      <w:proofErr w:type="spellEnd"/>
      <w:r w:rsidRPr="00692B84">
        <w:t xml:space="preserve"> проектов направленных на занятие конкурентных позиций на мировом рынке. 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lastRenderedPageBreak/>
        <w:t>5.   Проблемы русской диаспоры в постсоветских странах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Длительный срок, минувший после разрушения СССР, позволяет судить об устойчивых общих тенденциях в политике постсоветских государств в отношении русской диаспоры, оказавшейся на их территории. Практически во всех бывших союзных советских республиках суверенная государственность утверждалась на антироссийской и антирусской основе. </w:t>
      </w:r>
      <w:proofErr w:type="gramStart"/>
      <w:r w:rsidRPr="00692B84">
        <w:t xml:space="preserve">В первую очередь это выразилось в “языковых революциях”, когда в 1988 1989 годах  были приняты новые законы о языках, утвердившие один государственный язык титульной нации, а русский язык, являвшийся основным информационным носителем для </w:t>
      </w:r>
      <w:proofErr w:type="spellStart"/>
      <w:r w:rsidRPr="00692B84">
        <w:t>нетитульного</w:t>
      </w:r>
      <w:proofErr w:type="spellEnd"/>
      <w:r w:rsidRPr="00692B84">
        <w:t xml:space="preserve"> населения  и огромной массы русскоязычных граждан титульной национальности, был либо резко ограничен в возможностях официального употребления, либо за ним оставлена  юридически не определенная функция языка межнационального</w:t>
      </w:r>
      <w:proofErr w:type="gramEnd"/>
      <w:r w:rsidRPr="00692B84">
        <w:t xml:space="preserve"> общения. Язык из средства общения стал политическим инструментом, с помощью которого из властных структур, органов внутренних дел, судов, органов управления всеми областями государственной и общественной жизни вытеснялись русские. Вместе с этим  русские лишались возможности полноправного участия в приватизации, приобретении собственности в странах проживания. </w:t>
      </w:r>
      <w:proofErr w:type="gramStart"/>
      <w:r w:rsidRPr="00692B84">
        <w:t>Последовавшая за тем экономическая реформа, имеющая на сегодняшний день один общий в постсоветских государствах результат – резкое сокращение промышленного и сельскохозяйственного производства, привела к тому, что русское население, составлявшее в советское время  основную часть индустриальных рабочих и инженеров, потеряло работу,  и вместе с этим - источники существования.</w:t>
      </w:r>
      <w:proofErr w:type="gramEnd"/>
      <w:r w:rsidRPr="00692B84">
        <w:t xml:space="preserve"> Возникли проблемы получения образования на родном, русском, языке. Резко сужается информационное пространство для русскоязычного населения. В общественном сознании через средства массовой информации, систему образования стали формировать враждебный образ России и русских, что стало питательной почвой для роста бытового национализма, роста межнациональной напряженности.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Несмотря на то, что большинство русских в странах СНГ и Прибалтики проживали там уже не в первом поколении, для них эти страны являются родиной,  многие поставлены в положение оккупантов, “пришлых”, чужаков. Они фактически поставлены в условия выбора между потерей своей этнической идентичности или отъездом. Названные общие тенденции модулируются специфическими особенностями в каждом  из постсоветских государств.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Таким образом, российская диаспора, которая могла бы стать мощным инструментом влияния России в постсоветских государствах практически везде находится в разобщенном, угнетенном состоянии, не сформировала влиятельных политических объединений. Россия не ведет твердой и последовательной политики по отстаиванию интересов российской диаспоры. Не решена принципиальная проблема: что такое российская диаспора в этих странах – ресурсная база для пополнения сокращающегося населения России или проводник российских интересов на постсоветском пространстве.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692B84">
        <w:rPr>
          <w:b/>
        </w:rPr>
        <w:t>Новая политика России на постсоветском пространстве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Реализация новой политики России на постсоветском пространстве невозможна без резкой смены приоритетов, как во внутренней экономической политике, так и в ее геополитической ориентации. Без этого никакие изощренные PR-акции и дипломатические изыски, попытки “заморозить” в нынешнем неопределенном и полуразрушенном виде СНГ и другие интеграционные объединения, не спасут от того, что эти страны одна за другой будут включаться в сферы влияния других мировых центров силы, а Россия постепенно окажется в неблагоприятном окружении.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1. Только разработка и начало реализации мощного </w:t>
      </w:r>
      <w:proofErr w:type="spellStart"/>
      <w:r w:rsidRPr="00692B84">
        <w:t>модернизационного</w:t>
      </w:r>
      <w:proofErr w:type="spellEnd"/>
      <w:r w:rsidRPr="00692B84">
        <w:t xml:space="preserve"> проекта, проведение реальной промышленной политики, направленной на занятие конкурентного места в мировом разделении труда на основе современных технологий, определение реальных выгод для союзников России в присоединении к этому проекту, может создать необходимые условия для  реализации новой эффективной российской политики на постсоветском пространстве. 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2. России пора определяться </w:t>
      </w:r>
      <w:proofErr w:type="spellStart"/>
      <w:r w:rsidRPr="00692B84">
        <w:t>геополитически</w:t>
      </w:r>
      <w:proofErr w:type="spellEnd"/>
      <w:r w:rsidRPr="00692B84">
        <w:t xml:space="preserve"> на достаточно продолжительный срок. В состоянии неопределенности, “</w:t>
      </w:r>
      <w:proofErr w:type="spellStart"/>
      <w:r w:rsidRPr="00692B84">
        <w:t>многовекторности</w:t>
      </w:r>
      <w:proofErr w:type="spellEnd"/>
      <w:r w:rsidRPr="00692B84">
        <w:t xml:space="preserve">”, отсутствия последовательно реализующейся промышленной политики, в нынешнем, жестоком и конфликтном мире спокойно и динамично развиваться уже не получается. Необходимо прямо признать, что проект для России, предлагаемый Европой, по </w:t>
      </w:r>
      <w:proofErr w:type="gramStart"/>
      <w:r w:rsidRPr="00692B84">
        <w:t>сути</w:t>
      </w:r>
      <w:proofErr w:type="gramEnd"/>
      <w:r w:rsidRPr="00692B84">
        <w:t xml:space="preserve"> не является </w:t>
      </w:r>
      <w:proofErr w:type="spellStart"/>
      <w:r w:rsidRPr="00692B84">
        <w:t>модернизационным</w:t>
      </w:r>
      <w:proofErr w:type="spellEnd"/>
      <w:r w:rsidRPr="00692B84">
        <w:t xml:space="preserve"> и, несмотря на красивую внешнюю оболочку, предполагает замораживание экономики России на стадии топливно-сырьевого придатка и поставщика дешевой неквалифицированной рабочей силы для Евросоюза. Это полностью блокирует возможность для России стать центром и лидером экономического развития на постсоветском пространстве. В такой </w:t>
      </w:r>
      <w:r w:rsidRPr="00692B84">
        <w:lastRenderedPageBreak/>
        <w:t xml:space="preserve">ситуации, при разработке </w:t>
      </w:r>
      <w:proofErr w:type="spellStart"/>
      <w:r w:rsidRPr="00692B84">
        <w:t>модернизационного</w:t>
      </w:r>
      <w:proofErr w:type="spellEnd"/>
      <w:r w:rsidRPr="00692B84">
        <w:t xml:space="preserve"> проекта для России и постсоветского пространства необходимо отрешиться от традиционной односторонней экономической ориентации на европейский рынок энергоносителей и рассмотреть возможность более эффективного взаимодействия с такими бурно развивающимися регионами потребления энергоносителей, как китайский и индийский.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Подробное рассмотрение всех последствий такой масштабной переориентации выходит за рамки данного доклада (целесообразно посвятить этой теме отдельный доклад СНС). Но предварительно можно  отметить, что наиболее перспективным выглядит индийское направление.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3. Только реализация последовательной экономической политики изложенной в докладе Совета по национальной стратегии “Государство и бизнес” может открыть “окно возможностей” для проведения новой политики России на постсоветском пространстве.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 xml:space="preserve">4. Необходимо проявить политическую волю и решительно  избавиться от таких застарелых пороков во внешней политике по отношению к </w:t>
      </w:r>
      <w:proofErr w:type="spellStart"/>
      <w:r w:rsidRPr="00692B84">
        <w:t>постсоветким</w:t>
      </w:r>
      <w:proofErr w:type="spellEnd"/>
      <w:r w:rsidRPr="00692B84">
        <w:t xml:space="preserve"> государствам, когда реальные российские </w:t>
      </w:r>
      <w:proofErr w:type="spellStart"/>
      <w:r w:rsidRPr="00692B84">
        <w:t>невозобновляемые</w:t>
      </w:r>
      <w:proofErr w:type="spellEnd"/>
      <w:r w:rsidRPr="00692B84">
        <w:t xml:space="preserve"> ресурсы раздаются за полцены только за красивые слова и участие в мифических </w:t>
      </w:r>
      <w:proofErr w:type="spellStart"/>
      <w:r w:rsidRPr="00692B84">
        <w:t>псевдоинтеграционных</w:t>
      </w:r>
      <w:proofErr w:type="spellEnd"/>
      <w:r w:rsidRPr="00692B84">
        <w:t xml:space="preserve"> объединениях. А еще хуже, что за дурные слова и действия ресурсы тоже раздаются в надежде на благодарность в светлом будущем, которое никогда не наступает. Жесткий прагматизм, последовательность и твердое отстаивание собственных экономических и политических интересов всегда вызывает, в итоге, большее уважение, чем немотивированные раздачи подарков и прощения долгов.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5. Необходимо сформировать координирующий центр, который занимался бы вопросами внешней     политики в постсоветских государствах, координировал бы проведение политики не только на уровне государственных структур, но и на уровне общественных объединений, фондов, институтов, центров, финансово-промышленных групп.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6. Россия, надеясь на свое остаточное влияние в постсоветских странах, так и не сформировала в них те рычаги политического воздействия, механизмы формирования дружественных политических элит, которые с успехом используют США и Европа. Это фонды, гранты, образовательные программы и т. д. И именно через них, а не только и не столько через посольства и межгосударственные контакты реализуются, как можно было наблюдать, успешные политические проекты. Необходимо привлечь крупный российский бизнес к скорейшему формированию этого “неправительственного” сектора политического влияния.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7. Сохраняя развитую структуру Советского Союза по сбору информации о странах дальнего зарубежья, экспертному анализу экономических и политических тенденций в них, Россия не озаботилась созданием аналогичного инструментария по постсоветским государствам. Мы были свидетелями многих политических ошибок российского руководства основанных на элементарном отсутствии адекватной информации по реальным политическим процессам в постсоветских странах. Необходимо срочно создать мощные государственную и негосударственную системы сбора и анализа политической и экономической информации о странах ближнего зарубежья. Иначе все декларации об их приоритетности в российской внешнеполитической концепции останутся пустыми разговорами, а ошибки будут множиться.           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Заключение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Внешняя ситуация для России, с точки зрения нашей стратегической безопасности, отнюдь не ухудшается, она является стабильно плохой с начала 90-х годов, и в этом смысле, может быть, даже слегка улучшилась. Политическим фактом является то, что Россия - единственная из стран, возникших после распада СССР, которая не получила ни от одной международной организации никаких реальных гарантий безопасности. То есть, вопреки всем заверениям (а заверений было много в начале 90-х годов со стороны практически всех европейских, евро-атлантических и международных организаций), Россия вынуждена была все эти годы строить свою безопасность целиком самостоятельно. И более того, эта норма была европейскими и западными структурами воспринята как постоянный фактор.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r w:rsidRPr="00692B84">
        <w:t>Считается, что, само собой разумеется, что Россия и сегодня, и в будущем должна полностью сама обеспечивать собственную безопасность без каких-либо гарантий извне. Недооценивать этого обстоятельства мы не можем, мы принимаем это как факт и действуем, исходя из этого факта. Эта ситуация возникла не сегодня, она существовала и 10 лет назад ровно в такой же степени, просто очень плохо осознавалась нашим политическим классом.</w:t>
      </w:r>
    </w:p>
    <w:p w:rsidR="00692B84" w:rsidRPr="00692B84" w:rsidRDefault="00692B84" w:rsidP="00692B84">
      <w:pPr>
        <w:pStyle w:val="a3"/>
        <w:spacing w:before="0" w:beforeAutospacing="0" w:after="0" w:afterAutospacing="0" w:line="0" w:lineRule="atLeast"/>
        <w:jc w:val="both"/>
      </w:pPr>
      <w:proofErr w:type="gramStart"/>
      <w:r w:rsidRPr="00692B84">
        <w:t xml:space="preserve">Спектр внешнеполитических концепций и экспертных оценок, представленных в обществе, будет учитываться в большей степени за счет развития соответствующих подразделений в составе нашей </w:t>
      </w:r>
      <w:r w:rsidRPr="00692B84">
        <w:lastRenderedPageBreak/>
        <w:t>исполнительной и законодательной власти, и будет действовать ряд постоянных совещаний в этой области, которые будут выходить на необходимые, может быть, в некоторых случаях на воссозданные секторы в ведомствах исполнительной власти, будь то правительство или администрация президента.</w:t>
      </w:r>
      <w:proofErr w:type="gramEnd"/>
      <w:r w:rsidRPr="00692B84">
        <w:t xml:space="preserve"> Эти организационные вопросы сейчас прорабатываются, и они в ближайшее время станут известны.</w:t>
      </w:r>
    </w:p>
    <w:p w:rsidR="00692B84" w:rsidRPr="00692B84" w:rsidRDefault="00692B84" w:rsidP="00692B84">
      <w:pPr>
        <w:pStyle w:val="a4"/>
        <w:shd w:val="clear" w:color="auto" w:fill="FFFFFF"/>
        <w:spacing w:after="0" w:line="0" w:lineRule="atLeast"/>
        <w:ind w:left="597" w:right="55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692B84" w:rsidRPr="00692B84" w:rsidSect="00FF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20E"/>
    <w:multiLevelType w:val="hybridMultilevel"/>
    <w:tmpl w:val="7FE03878"/>
    <w:lvl w:ilvl="0" w:tplc="5434E80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B20"/>
    <w:rsid w:val="001450D1"/>
    <w:rsid w:val="00692B84"/>
    <w:rsid w:val="00CA5646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2">
    <w:name w:val="heading 2"/>
    <w:basedOn w:val="a"/>
    <w:link w:val="20"/>
    <w:uiPriority w:val="9"/>
    <w:qFormat/>
    <w:rsid w:val="00692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B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2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92B84"/>
    <w:rPr>
      <w:b/>
      <w:bCs/>
    </w:rPr>
  </w:style>
  <w:style w:type="character" w:styleId="a6">
    <w:name w:val="Hyperlink"/>
    <w:basedOn w:val="a0"/>
    <w:uiPriority w:val="99"/>
    <w:semiHidden/>
    <w:unhideWhenUsed/>
    <w:rsid w:val="00692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7_44670_prezident-rossiyskoy-federatsii-v-v-putin.html" TargetMode="External"/><Relationship Id="rId5" Type="http://schemas.openxmlformats.org/officeDocument/2006/relationships/hyperlink" Target="https://studopedia.ru/4_76799_bneltsin-transformatsiya-obshchestvennoy-sistemi-liberalnie-refor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5937</Words>
  <Characters>33842</Characters>
  <Application>Microsoft Office Word</Application>
  <DocSecurity>0</DocSecurity>
  <Lines>282</Lines>
  <Paragraphs>79</Paragraphs>
  <ScaleCrop>false</ScaleCrop>
  <Company>Grizli777</Company>
  <LinksUpToDate>false</LinksUpToDate>
  <CharactersWithSpaces>39700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2020-04-20T09:40:00Z</dcterms:created>
  <dcterms:modified xsi:type="dcterms:W3CDTF">2020-04-20T09:40:00Z</dcterms:modified>
</cp:coreProperties>
</file>