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A0" w:rsidRPr="00FC1CD8" w:rsidRDefault="00AC73A0" w:rsidP="00FC1CD8">
      <w:pPr>
        <w:pStyle w:val="1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FC1CD8">
        <w:rPr>
          <w:rFonts w:ascii="Arial" w:hAnsi="Arial" w:cs="Arial"/>
          <w:color w:val="000000"/>
          <w:sz w:val="28"/>
          <w:szCs w:val="28"/>
        </w:rPr>
        <w:t xml:space="preserve">Тема урока: </w:t>
      </w:r>
      <w:r w:rsidR="00556A54" w:rsidRPr="00FC1CD8">
        <w:rPr>
          <w:rFonts w:ascii="Arial" w:hAnsi="Arial" w:cs="Arial"/>
          <w:bCs w:val="0"/>
          <w:color w:val="000000"/>
          <w:sz w:val="28"/>
          <w:szCs w:val="28"/>
        </w:rPr>
        <w:t> </w:t>
      </w:r>
      <w:r w:rsidR="00FC1CD8" w:rsidRPr="00FC1CD8">
        <w:rPr>
          <w:i/>
          <w:iCs/>
          <w:color w:val="000000"/>
          <w:sz w:val="28"/>
          <w:szCs w:val="28"/>
        </w:rPr>
        <w:t>Червячная передача</w:t>
      </w:r>
      <w:r w:rsidR="00124156">
        <w:rPr>
          <w:i/>
          <w:iCs/>
          <w:color w:val="000000"/>
          <w:sz w:val="28"/>
          <w:szCs w:val="28"/>
        </w:rPr>
        <w:t>. Достоинства и недостатки.</w:t>
      </w:r>
    </w:p>
    <w:p w:rsidR="00556A54" w:rsidRPr="00FC1CD8" w:rsidRDefault="00556A54" w:rsidP="00556A54">
      <w:pPr>
        <w:shd w:val="clear" w:color="auto" w:fill="FFFFFF" w:themeFill="background1"/>
        <w:spacing w:after="460" w:line="288" w:lineRule="atLeast"/>
        <w:textAlignment w:val="top"/>
        <w:outlineLvl w:val="0"/>
        <w:rPr>
          <w:rFonts w:ascii="Arial" w:eastAsia="Times New Roman" w:hAnsi="Arial" w:cs="Arial"/>
          <w:i/>
          <w:color w:val="000000"/>
          <w:kern w:val="36"/>
          <w:sz w:val="28"/>
          <w:szCs w:val="28"/>
          <w:lang w:eastAsia="ru-RU"/>
        </w:rPr>
      </w:pPr>
      <w:r w:rsidRPr="00FC1CD8">
        <w:rPr>
          <w:rFonts w:ascii="Arial" w:eastAsia="Times New Roman" w:hAnsi="Arial" w:cs="Arial"/>
          <w:i/>
          <w:color w:val="000000"/>
          <w:kern w:val="36"/>
          <w:sz w:val="28"/>
          <w:szCs w:val="28"/>
          <w:lang w:eastAsia="ru-RU"/>
        </w:rPr>
        <w:t xml:space="preserve">Изучить, законспектировать  материал и прислать </w:t>
      </w:r>
    </w:p>
    <w:p w:rsidR="00556A54" w:rsidRPr="00FC1CD8" w:rsidRDefault="00556A54" w:rsidP="00556A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C1C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электронную почту</w:t>
      </w:r>
    </w:p>
    <w:p w:rsidR="00556A54" w:rsidRPr="00FC1CD8" w:rsidRDefault="00556A54" w:rsidP="00556A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56A54" w:rsidRPr="00FC1CD8" w:rsidRDefault="00556A54" w:rsidP="00556A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000000" w:themeColor="text1"/>
          <w:sz w:val="28"/>
          <w:szCs w:val="28"/>
          <w:lang w:eastAsia="ru-RU"/>
        </w:rPr>
      </w:pPr>
      <w:r w:rsidRPr="00FC1CD8">
        <w:rPr>
          <w:rFonts w:ascii="Verdana" w:eastAsia="Times New Roman" w:hAnsi="Verdana" w:cs="Times New Roman"/>
          <w:i/>
          <w:color w:val="000000" w:themeColor="text1"/>
          <w:sz w:val="28"/>
          <w:szCs w:val="28"/>
          <w:lang w:eastAsia="ru-RU"/>
        </w:rPr>
        <w:t>lomakinaNV67@yandex.ru</w:t>
      </w:r>
    </w:p>
    <w:p w:rsidR="00124156" w:rsidRDefault="00124156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124156" w:rsidRDefault="00124156" w:rsidP="00124156">
      <w:pPr>
        <w:pStyle w:val="a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Червячные передачи применяют для передачи вращательного движения между валами, у которых угол скрещивания осей обычно составляет 0 = 90°. В большинстве случаев ведущим является червяк, т. е. короткий винт с трапецеидальной или близкой к ней резьбой.</w:t>
      </w:r>
      <w:r>
        <w:rPr>
          <w:rFonts w:ascii="Arial" w:hAnsi="Arial" w:cs="Arial"/>
          <w:sz w:val="25"/>
          <w:szCs w:val="25"/>
        </w:rPr>
        <w:br/>
        <w:t>Для облегания тела червяка венец червячного колеса имеет зубья дугообразной формы, что увеличивает длину контактных линий в зоне зацепления.</w:t>
      </w:r>
      <w:r>
        <w:rPr>
          <w:rFonts w:ascii="Arial" w:hAnsi="Arial" w:cs="Arial"/>
          <w:sz w:val="25"/>
          <w:szCs w:val="25"/>
        </w:rPr>
        <w:br/>
        <w:t>Червячная передача — это зубчато-винтовая передача, движение в которой осуществляется по принципу винтовой пары. </w:t>
      </w:r>
      <w:r>
        <w:rPr>
          <w:rStyle w:val="a4"/>
          <w:rFonts w:ascii="Arial" w:hAnsi="Arial" w:cs="Arial"/>
          <w:sz w:val="25"/>
          <w:szCs w:val="25"/>
        </w:rPr>
        <w:t>Область применения червячных передач</w:t>
      </w:r>
      <w:r>
        <w:rPr>
          <w:rFonts w:ascii="Arial" w:hAnsi="Arial" w:cs="Arial"/>
          <w:sz w:val="25"/>
          <w:szCs w:val="25"/>
        </w:rPr>
        <w:t>.</w:t>
      </w:r>
    </w:p>
    <w:p w:rsidR="00124156" w:rsidRDefault="00124156" w:rsidP="00124156">
      <w:pPr>
        <w:pStyle w:val="a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Червячные передачи применяют при небольших и средних мощностях, обычно не превышающих 100 кВт. Применение передач при больших мощностях неэкономично из-за сравнительно низкого к.п.д. и требует специальных мер для охлаждения передачи во избежание сильного нагрева. Червячные передачи широко применяют в подъемно-транспортных машинах, троллейбусах и особенно там, где требуется высокая кинематическая точность (делительные устройства станков, механизмы наводки и т. д.). Червячные передачи во избежание их перегрева предпочтительно использовать в приводах периодического (а не непрерывного) действия.</w:t>
      </w:r>
    </w:p>
    <w:p w:rsidR="00124156" w:rsidRDefault="00124156" w:rsidP="00124156">
      <w:pPr>
        <w:pStyle w:val="a3"/>
        <w:rPr>
          <w:rFonts w:ascii="Arial" w:hAnsi="Arial" w:cs="Arial"/>
          <w:sz w:val="25"/>
          <w:szCs w:val="25"/>
        </w:rPr>
      </w:pPr>
      <w:r>
        <w:rPr>
          <w:rStyle w:val="a4"/>
          <w:rFonts w:ascii="Arial" w:hAnsi="Arial" w:cs="Arial"/>
          <w:sz w:val="25"/>
          <w:szCs w:val="25"/>
        </w:rPr>
        <w:t>Достоинства червячной передачи.</w:t>
      </w:r>
    </w:p>
    <w:p w:rsidR="00124156" w:rsidRDefault="00124156" w:rsidP="00124156">
      <w:pPr>
        <w:pStyle w:val="a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1) Плавность и бесшумность работы.</w:t>
      </w:r>
      <w:r>
        <w:rPr>
          <w:rFonts w:ascii="Arial" w:hAnsi="Arial" w:cs="Arial"/>
          <w:sz w:val="25"/>
          <w:szCs w:val="25"/>
        </w:rPr>
        <w:br/>
        <w:t>2) Компактность и сравнительно небольшая масса конструкции.</w:t>
      </w:r>
      <w:r>
        <w:rPr>
          <w:rFonts w:ascii="Arial" w:hAnsi="Arial" w:cs="Arial"/>
          <w:sz w:val="25"/>
          <w:szCs w:val="25"/>
        </w:rPr>
        <w:br/>
        <w:t>3) Возможность большого редуцирования, т. е. получения больших передаточных чисел (в отдельных случаях в не силовых передачах до 1000).</w:t>
      </w:r>
      <w:r>
        <w:rPr>
          <w:rFonts w:ascii="Arial" w:hAnsi="Arial" w:cs="Arial"/>
          <w:sz w:val="25"/>
          <w:szCs w:val="25"/>
        </w:rPr>
        <w:br/>
        <w:t>4) Возможность получения самотормозящей передачи, т. е. допускающей передачу движения только от червяка к колесу. Самоторможение червячной передачи позволяет выполнить механизм без тормозного устройства, препятствующего обратному вращению колеса.</w:t>
      </w:r>
      <w:r>
        <w:rPr>
          <w:rFonts w:ascii="Arial" w:hAnsi="Arial" w:cs="Arial"/>
          <w:sz w:val="25"/>
          <w:szCs w:val="25"/>
        </w:rPr>
        <w:br/>
        <w:t>5) Высокая кинематическая точность.</w:t>
      </w:r>
    </w:p>
    <w:p w:rsidR="00124156" w:rsidRDefault="00124156" w:rsidP="00124156">
      <w:pPr>
        <w:rPr>
          <w:rFonts w:ascii="Arial" w:hAnsi="Arial" w:cs="Arial"/>
          <w:sz w:val="25"/>
          <w:szCs w:val="25"/>
        </w:rPr>
      </w:pPr>
    </w:p>
    <w:p w:rsidR="00124156" w:rsidRDefault="00124156" w:rsidP="00124156">
      <w:pPr>
        <w:spacing w:after="250"/>
        <w:rPr>
          <w:rFonts w:ascii="Arial" w:hAnsi="Arial" w:cs="Arial"/>
          <w:sz w:val="25"/>
          <w:szCs w:val="25"/>
        </w:rPr>
      </w:pPr>
    </w:p>
    <w:p w:rsidR="00124156" w:rsidRDefault="00124156" w:rsidP="00124156">
      <w:pPr>
        <w:pStyle w:val="a3"/>
        <w:rPr>
          <w:rStyle w:val="a4"/>
          <w:rFonts w:ascii="Arial" w:hAnsi="Arial" w:cs="Arial"/>
          <w:sz w:val="25"/>
          <w:szCs w:val="25"/>
        </w:rPr>
      </w:pPr>
    </w:p>
    <w:p w:rsidR="00124156" w:rsidRDefault="00124156" w:rsidP="00124156">
      <w:pPr>
        <w:pStyle w:val="a3"/>
        <w:rPr>
          <w:rStyle w:val="a4"/>
          <w:rFonts w:ascii="Arial" w:hAnsi="Arial" w:cs="Arial"/>
          <w:sz w:val="25"/>
          <w:szCs w:val="25"/>
        </w:rPr>
      </w:pPr>
    </w:p>
    <w:p w:rsidR="00124156" w:rsidRDefault="00124156" w:rsidP="00124156">
      <w:pPr>
        <w:pStyle w:val="a3"/>
        <w:rPr>
          <w:rFonts w:ascii="Arial" w:hAnsi="Arial" w:cs="Arial"/>
          <w:sz w:val="25"/>
          <w:szCs w:val="25"/>
        </w:rPr>
      </w:pPr>
      <w:r>
        <w:rPr>
          <w:rStyle w:val="a4"/>
          <w:rFonts w:ascii="Arial" w:hAnsi="Arial" w:cs="Arial"/>
          <w:sz w:val="25"/>
          <w:szCs w:val="25"/>
        </w:rPr>
        <w:t>Недостатки червячной передачи.</w:t>
      </w:r>
    </w:p>
    <w:p w:rsidR="00124156" w:rsidRDefault="00124156" w:rsidP="00124156">
      <w:pPr>
        <w:pStyle w:val="a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1) Сравнительно </w:t>
      </w:r>
      <w:proofErr w:type="gramStart"/>
      <w:r>
        <w:rPr>
          <w:rFonts w:ascii="Arial" w:hAnsi="Arial" w:cs="Arial"/>
          <w:sz w:val="25"/>
          <w:szCs w:val="25"/>
        </w:rPr>
        <w:t>низкий</w:t>
      </w:r>
      <w:proofErr w:type="gramEnd"/>
      <w:r>
        <w:rPr>
          <w:rFonts w:ascii="Arial" w:hAnsi="Arial" w:cs="Arial"/>
          <w:sz w:val="25"/>
          <w:szCs w:val="25"/>
        </w:rPr>
        <w:t xml:space="preserve"> к.п.д. вследствие скольжения витков червяка по зубьям колеса.</w:t>
      </w:r>
      <w:r>
        <w:rPr>
          <w:rFonts w:ascii="Arial" w:hAnsi="Arial" w:cs="Arial"/>
          <w:sz w:val="25"/>
          <w:szCs w:val="25"/>
        </w:rPr>
        <w:br/>
        <w:t>2) Значительное выделение теплоты в зоне зацепления червяка с колесом.</w:t>
      </w:r>
      <w:r>
        <w:rPr>
          <w:rFonts w:ascii="Arial" w:hAnsi="Arial" w:cs="Arial"/>
          <w:sz w:val="25"/>
          <w:szCs w:val="25"/>
        </w:rPr>
        <w:br/>
        <w:t>3) Необходимость применения для венцов червячных колес дефицитных антифрикционных материалов.</w:t>
      </w:r>
      <w:r>
        <w:rPr>
          <w:rFonts w:ascii="Arial" w:hAnsi="Arial" w:cs="Arial"/>
          <w:sz w:val="25"/>
          <w:szCs w:val="25"/>
        </w:rPr>
        <w:br/>
        <w:t>4) Повышенное изнашивание и склонность к заеданию.</w:t>
      </w:r>
    </w:p>
    <w:tbl>
      <w:tblPr>
        <w:tblW w:w="12255" w:type="dxa"/>
        <w:tblCellMar>
          <w:left w:w="0" w:type="dxa"/>
          <w:right w:w="0" w:type="dxa"/>
        </w:tblCellMar>
        <w:tblLook w:val="04A0"/>
      </w:tblPr>
      <w:tblGrid>
        <w:gridCol w:w="12255"/>
      </w:tblGrid>
      <w:tr w:rsidR="00124156" w:rsidTr="00124156">
        <w:tc>
          <w:tcPr>
            <w:tcW w:w="0" w:type="auto"/>
            <w:vAlign w:val="center"/>
            <w:hideMark/>
          </w:tcPr>
          <w:tbl>
            <w:tblPr>
              <w:tblW w:w="122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55"/>
            </w:tblGrid>
            <w:tr w:rsidR="00124156">
              <w:trPr>
                <w:tblCellSpacing w:w="0" w:type="dxa"/>
              </w:trPr>
              <w:tc>
                <w:tcPr>
                  <w:tcW w:w="0" w:type="auto"/>
                  <w:tcMar>
                    <w:top w:w="92" w:type="dxa"/>
                    <w:left w:w="92" w:type="dxa"/>
                    <w:bottom w:w="92" w:type="dxa"/>
                    <w:right w:w="92" w:type="dxa"/>
                  </w:tcMar>
                  <w:vAlign w:val="center"/>
                  <w:hideMark/>
                </w:tcPr>
                <w:tbl>
                  <w:tblPr>
                    <w:tblW w:w="1207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704"/>
                    <w:gridCol w:w="367"/>
                  </w:tblGrid>
                  <w:tr w:rsidR="00124156">
                    <w:tc>
                      <w:tcPr>
                        <w:tcW w:w="11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24156" w:rsidRDefault="001241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24156" w:rsidRDefault="001241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24156" w:rsidRDefault="0012415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2415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4156" w:rsidRDefault="0012415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24156" w:rsidRDefault="00124156">
            <w:pPr>
              <w:rPr>
                <w:sz w:val="24"/>
                <w:szCs w:val="24"/>
              </w:rPr>
            </w:pPr>
          </w:p>
        </w:tc>
      </w:tr>
    </w:tbl>
    <w:p w:rsidR="00124156" w:rsidRDefault="00124156" w:rsidP="00124156">
      <w:pPr>
        <w:rPr>
          <w:rFonts w:ascii="Arial" w:hAnsi="Arial" w:cs="Arial"/>
          <w:b/>
          <w:bCs/>
          <w:color w:val="555555"/>
          <w:sz w:val="31"/>
          <w:szCs w:val="31"/>
        </w:rPr>
      </w:pPr>
      <w:hyperlink r:id="rId5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tudopedia.ru/4_163315_konicheskie-zubchatie-peredachi-sili-v-zatseplenii-kriterii-rabotosposobnosti-osobennosti-rascheta-po-kontaktnim-napryazheniyam.html" style="width:23.75pt;height:23.75pt" o:button="t"/>
          </w:pict>
        </w:r>
      </w:hyperlink>
    </w:p>
    <w:p w:rsidR="00556A54" w:rsidRPr="00124156" w:rsidRDefault="00556A54" w:rsidP="00124156">
      <w:pPr>
        <w:rPr>
          <w:lang w:eastAsia="ru-RU"/>
        </w:rPr>
      </w:pPr>
    </w:p>
    <w:sectPr w:rsidR="00556A54" w:rsidRPr="00124156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B38"/>
    <w:multiLevelType w:val="multilevel"/>
    <w:tmpl w:val="CD1C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73A0"/>
    <w:rsid w:val="000B2557"/>
    <w:rsid w:val="00124156"/>
    <w:rsid w:val="00180DC5"/>
    <w:rsid w:val="003751FA"/>
    <w:rsid w:val="005056FE"/>
    <w:rsid w:val="00556A54"/>
    <w:rsid w:val="00830B57"/>
    <w:rsid w:val="00A263EC"/>
    <w:rsid w:val="00AC73A0"/>
    <w:rsid w:val="00B726DE"/>
    <w:rsid w:val="00C06F9D"/>
    <w:rsid w:val="00E163F6"/>
    <w:rsid w:val="00E461D2"/>
    <w:rsid w:val="00EF58FA"/>
    <w:rsid w:val="00F54BE5"/>
    <w:rsid w:val="00FC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link w:val="10"/>
    <w:uiPriority w:val="9"/>
    <w:qFormat/>
    <w:rsid w:val="00AC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7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A0"/>
    <w:rPr>
      <w:b/>
      <w:bCs/>
    </w:rPr>
  </w:style>
  <w:style w:type="character" w:styleId="a5">
    <w:name w:val="Hyperlink"/>
    <w:basedOn w:val="a0"/>
    <w:uiPriority w:val="99"/>
    <w:semiHidden/>
    <w:unhideWhenUsed/>
    <w:rsid w:val="00AC7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3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61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pelle">
    <w:name w:val="spelle"/>
    <w:basedOn w:val="a0"/>
    <w:rsid w:val="00FC1CD8"/>
  </w:style>
  <w:style w:type="character" w:customStyle="1" w:styleId="grame">
    <w:name w:val="grame"/>
    <w:basedOn w:val="a0"/>
    <w:rsid w:val="00FC1CD8"/>
  </w:style>
  <w:style w:type="paragraph" w:styleId="a8">
    <w:name w:val="Body Text Indent"/>
    <w:basedOn w:val="a"/>
    <w:link w:val="a9"/>
    <w:uiPriority w:val="99"/>
    <w:semiHidden/>
    <w:unhideWhenUsed/>
    <w:rsid w:val="00F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6494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9754">
                  <w:marLeft w:val="0"/>
                  <w:marRight w:val="123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44">
                  <w:marLeft w:val="0"/>
                  <w:marRight w:val="123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135">
                  <w:marLeft w:val="0"/>
                  <w:marRight w:val="123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5584">
                  <w:marLeft w:val="0"/>
                  <w:marRight w:val="123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2">
                  <w:marLeft w:val="0"/>
                  <w:marRight w:val="123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2081">
                  <w:marLeft w:val="0"/>
                  <w:marRight w:val="123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1364">
                  <w:marLeft w:val="0"/>
                  <w:marRight w:val="123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7646">
                  <w:marLeft w:val="0"/>
                  <w:marRight w:val="123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1872"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062">
              <w:marLeft w:val="0"/>
              <w:marRight w:val="0"/>
              <w:marTop w:val="0"/>
              <w:marBottom w:val="3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opedia.ru/4_163315_konicheskie-zubchatie-peredachi-sili-v-zatseplenii-kriterii-rabotosposobnosti-osobennosti-rascheta-po-kontaktnim-napryazheniy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2020-04-21T16:21:00Z</dcterms:created>
  <dcterms:modified xsi:type="dcterms:W3CDTF">2020-04-21T16:21:00Z</dcterms:modified>
</cp:coreProperties>
</file>